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3D7594"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ΑΝΩΤΑΤΟ ΔΙΚΑΣΤΗΡΙΟ ΚΥΠΡΟΥ</w:t>
      </w:r>
    </w:p>
    <w:p w14:paraId="76D48AC6" w14:textId="77777777" w:rsidR="00265A85" w:rsidRPr="008518F5" w:rsidRDefault="00265A85" w:rsidP="005B4561">
      <w:pPr>
        <w:ind w:right="-35"/>
        <w:rPr>
          <w:rFonts w:ascii="Bookman Old Style" w:hAnsi="Bookman Old Style" w:cs="Arial"/>
          <w:b/>
          <w:sz w:val="28"/>
          <w:szCs w:val="28"/>
          <w:lang w:val="el-GR"/>
        </w:rPr>
      </w:pPr>
      <w:r w:rsidRPr="008518F5">
        <w:rPr>
          <w:rFonts w:ascii="Bookman Old Style" w:hAnsi="Bookman Old Style" w:cs="Arial"/>
          <w:b/>
          <w:sz w:val="28"/>
          <w:szCs w:val="28"/>
          <w:lang w:val="el-GR"/>
        </w:rPr>
        <w:t>ΔΕΥΤΕΡΟΒΑΘΜΙΑ ΔΙΚΑΙΟΔΟΣΙΑ</w:t>
      </w:r>
    </w:p>
    <w:p w14:paraId="52DCD03B" w14:textId="77777777" w:rsidR="00265A85" w:rsidRPr="008518F5" w:rsidRDefault="00265A85" w:rsidP="005B4561">
      <w:pPr>
        <w:ind w:right="-35"/>
        <w:rPr>
          <w:rFonts w:ascii="Bookman Old Style" w:hAnsi="Bookman Old Style" w:cs="Arial"/>
          <w:b/>
          <w:sz w:val="28"/>
          <w:szCs w:val="28"/>
          <w:lang w:val="el-GR"/>
        </w:rPr>
      </w:pPr>
    </w:p>
    <w:p w14:paraId="7C2D3C79" w14:textId="77777777" w:rsidR="00265A85" w:rsidRPr="008518F5" w:rsidRDefault="00265A85" w:rsidP="005B4561">
      <w:pPr>
        <w:ind w:right="-35"/>
        <w:jc w:val="right"/>
        <w:rPr>
          <w:rFonts w:ascii="Bookman Old Style" w:hAnsi="Bookman Old Style" w:cs="Arial"/>
          <w:b/>
          <w:i/>
          <w:iCs/>
          <w:sz w:val="28"/>
          <w:szCs w:val="28"/>
          <w:lang w:val="el-GR"/>
        </w:rPr>
      </w:pPr>
    </w:p>
    <w:p w14:paraId="6E75F460" w14:textId="7E6DD612" w:rsidR="00265A85" w:rsidRPr="008518F5" w:rsidRDefault="00265A85" w:rsidP="005B4561">
      <w:pPr>
        <w:ind w:right="-35"/>
        <w:jc w:val="right"/>
        <w:rPr>
          <w:rFonts w:ascii="Bookman Old Style" w:hAnsi="Bookman Old Style"/>
          <w:sz w:val="28"/>
          <w:szCs w:val="28"/>
          <w:lang w:val="el-GR"/>
        </w:rPr>
      </w:pPr>
      <w:r w:rsidRPr="008518F5">
        <w:rPr>
          <w:rFonts w:ascii="Bookman Old Style" w:hAnsi="Bookman Old Style" w:cs="Arial"/>
          <w:b/>
          <w:i/>
          <w:iCs/>
          <w:sz w:val="28"/>
          <w:szCs w:val="28"/>
          <w:lang w:val="el-GR"/>
        </w:rPr>
        <w:t xml:space="preserve">(Πολιτική </w:t>
      </w:r>
      <w:r w:rsidR="00BC4F86" w:rsidRPr="008518F5">
        <w:rPr>
          <w:rFonts w:ascii="Bookman Old Style" w:hAnsi="Bookman Old Style" w:cs="Arial"/>
          <w:b/>
          <w:i/>
          <w:iCs/>
          <w:sz w:val="28"/>
          <w:szCs w:val="28"/>
          <w:lang w:val="el-GR"/>
        </w:rPr>
        <w:t>Έφεσ</w:t>
      </w:r>
      <w:r w:rsidR="002A631C" w:rsidRPr="008518F5">
        <w:rPr>
          <w:rFonts w:ascii="Bookman Old Style" w:hAnsi="Bookman Old Style" w:cs="Arial"/>
          <w:b/>
          <w:i/>
          <w:iCs/>
          <w:sz w:val="28"/>
          <w:szCs w:val="28"/>
          <w:lang w:val="el-GR"/>
        </w:rPr>
        <w:t xml:space="preserve">η </w:t>
      </w:r>
      <w:proofErr w:type="spellStart"/>
      <w:r w:rsidRPr="008518F5">
        <w:rPr>
          <w:rFonts w:ascii="Bookman Old Style" w:hAnsi="Bookman Old Style" w:cs="Arial"/>
          <w:b/>
          <w:i/>
          <w:iCs/>
          <w:sz w:val="28"/>
          <w:szCs w:val="28"/>
          <w:lang w:val="el-GR"/>
        </w:rPr>
        <w:t>Αρ</w:t>
      </w:r>
      <w:proofErr w:type="spellEnd"/>
      <w:r w:rsidRPr="008518F5">
        <w:rPr>
          <w:rFonts w:ascii="Bookman Old Style" w:hAnsi="Bookman Old Style" w:cs="Arial"/>
          <w:b/>
          <w:i/>
          <w:iCs/>
          <w:sz w:val="28"/>
          <w:szCs w:val="28"/>
          <w:lang w:val="el-GR"/>
        </w:rPr>
        <w:t xml:space="preserve">. </w:t>
      </w:r>
      <w:r w:rsidR="002A631C" w:rsidRPr="008518F5">
        <w:rPr>
          <w:rFonts w:ascii="Bookman Old Style" w:hAnsi="Bookman Old Style" w:cs="Arial"/>
          <w:b/>
          <w:i/>
          <w:iCs/>
          <w:sz w:val="28"/>
          <w:szCs w:val="28"/>
          <w:lang w:val="el-GR"/>
        </w:rPr>
        <w:t>1</w:t>
      </w:r>
      <w:r w:rsidR="001B2C5A">
        <w:rPr>
          <w:rFonts w:ascii="Bookman Old Style" w:hAnsi="Bookman Old Style" w:cs="Arial"/>
          <w:b/>
          <w:i/>
          <w:iCs/>
          <w:sz w:val="28"/>
          <w:szCs w:val="28"/>
          <w:lang w:val="el-GR"/>
        </w:rPr>
        <w:t>27</w:t>
      </w:r>
      <w:r w:rsidR="002A631C" w:rsidRPr="008518F5">
        <w:rPr>
          <w:rFonts w:ascii="Bookman Old Style" w:hAnsi="Bookman Old Style" w:cs="Arial"/>
          <w:b/>
          <w:i/>
          <w:iCs/>
          <w:sz w:val="28"/>
          <w:szCs w:val="28"/>
          <w:lang w:val="el-GR"/>
        </w:rPr>
        <w:t>/</w:t>
      </w:r>
      <w:r w:rsidRPr="008518F5">
        <w:rPr>
          <w:rFonts w:ascii="Bookman Old Style" w:hAnsi="Bookman Old Style" w:cs="Arial"/>
          <w:b/>
          <w:i/>
          <w:iCs/>
          <w:sz w:val="28"/>
          <w:szCs w:val="28"/>
          <w:lang w:val="el-GR"/>
        </w:rPr>
        <w:t>201</w:t>
      </w:r>
      <w:r w:rsidR="001B2C5A">
        <w:rPr>
          <w:rFonts w:ascii="Bookman Old Style" w:hAnsi="Bookman Old Style" w:cs="Arial"/>
          <w:b/>
          <w:i/>
          <w:iCs/>
          <w:sz w:val="28"/>
          <w:szCs w:val="28"/>
          <w:lang w:val="el-GR"/>
        </w:rPr>
        <w:t>5</w:t>
      </w:r>
      <w:r w:rsidRPr="008518F5">
        <w:rPr>
          <w:rFonts w:ascii="Bookman Old Style" w:hAnsi="Bookman Old Style" w:cs="Arial"/>
          <w:b/>
          <w:i/>
          <w:iCs/>
          <w:sz w:val="28"/>
          <w:szCs w:val="28"/>
          <w:lang w:val="el-GR"/>
        </w:rPr>
        <w:t>)</w:t>
      </w:r>
    </w:p>
    <w:p w14:paraId="3E2D01FC" w14:textId="77777777" w:rsidR="00265A85" w:rsidRPr="008518F5" w:rsidRDefault="00265A85" w:rsidP="005B4561">
      <w:pPr>
        <w:ind w:right="-35"/>
        <w:jc w:val="center"/>
        <w:rPr>
          <w:rFonts w:ascii="Bookman Old Style" w:hAnsi="Bookman Old Style" w:cs="Arial"/>
          <w:i/>
          <w:iCs/>
          <w:sz w:val="28"/>
          <w:szCs w:val="28"/>
          <w:lang w:val="el-GR"/>
        </w:rPr>
      </w:pPr>
    </w:p>
    <w:p w14:paraId="5FB1E4CE" w14:textId="77777777" w:rsidR="00265A85" w:rsidRDefault="00265A85" w:rsidP="005B4561">
      <w:pPr>
        <w:ind w:right="-35"/>
        <w:jc w:val="center"/>
        <w:rPr>
          <w:rFonts w:ascii="Bookman Old Style" w:hAnsi="Bookman Old Style" w:cs="Arial"/>
          <w:b/>
          <w:sz w:val="28"/>
          <w:szCs w:val="28"/>
          <w:lang w:val="el-GR"/>
        </w:rPr>
      </w:pPr>
    </w:p>
    <w:p w14:paraId="4B4A4913" w14:textId="77777777" w:rsidR="001F13F5" w:rsidRPr="008518F5" w:rsidRDefault="001F13F5" w:rsidP="005B4561">
      <w:pPr>
        <w:ind w:right="-35"/>
        <w:jc w:val="center"/>
        <w:rPr>
          <w:rFonts w:ascii="Bookman Old Style" w:hAnsi="Bookman Old Style" w:cs="Arial"/>
          <w:b/>
          <w:sz w:val="28"/>
          <w:szCs w:val="28"/>
          <w:lang w:val="el-GR"/>
        </w:rPr>
      </w:pPr>
    </w:p>
    <w:p w14:paraId="46A39EE2" w14:textId="2BCDF848" w:rsidR="00265A85" w:rsidRDefault="005E54FE" w:rsidP="005B4561">
      <w:pPr>
        <w:ind w:right="-35"/>
        <w:jc w:val="center"/>
        <w:rPr>
          <w:rFonts w:ascii="Bookman Old Style" w:hAnsi="Bookman Old Style" w:cs="Arial"/>
          <w:b/>
          <w:sz w:val="28"/>
          <w:szCs w:val="28"/>
          <w:lang w:val="el-GR"/>
        </w:rPr>
      </w:pPr>
      <w:r>
        <w:rPr>
          <w:rFonts w:ascii="Bookman Old Style" w:hAnsi="Bookman Old Style" w:cs="Arial"/>
          <w:b/>
          <w:sz w:val="28"/>
          <w:szCs w:val="28"/>
          <w:lang w:val="el-GR"/>
        </w:rPr>
        <w:t>1 Μαρτ</w:t>
      </w:r>
      <w:r w:rsidR="00CF5844">
        <w:rPr>
          <w:rFonts w:ascii="Bookman Old Style" w:hAnsi="Bookman Old Style" w:cs="Arial"/>
          <w:b/>
          <w:sz w:val="28"/>
          <w:szCs w:val="28"/>
          <w:lang w:val="el-GR"/>
        </w:rPr>
        <w:t xml:space="preserve">ίου, </w:t>
      </w:r>
      <w:r w:rsidR="00422938" w:rsidRPr="008518F5">
        <w:rPr>
          <w:rFonts w:ascii="Bookman Old Style" w:hAnsi="Bookman Old Style" w:cs="Arial"/>
          <w:b/>
          <w:sz w:val="28"/>
          <w:szCs w:val="28"/>
          <w:lang w:val="el-GR"/>
        </w:rPr>
        <w:t>202</w:t>
      </w:r>
      <w:r w:rsidR="007A32F4">
        <w:rPr>
          <w:rFonts w:ascii="Bookman Old Style" w:hAnsi="Bookman Old Style" w:cs="Arial"/>
          <w:b/>
          <w:sz w:val="28"/>
          <w:szCs w:val="28"/>
          <w:lang w:val="el-GR"/>
        </w:rPr>
        <w:t>4</w:t>
      </w:r>
    </w:p>
    <w:p w14:paraId="0E131B19" w14:textId="77777777" w:rsidR="00265A85" w:rsidRPr="008518F5" w:rsidRDefault="00265A85" w:rsidP="005B4561">
      <w:pPr>
        <w:ind w:right="-35"/>
        <w:jc w:val="center"/>
        <w:rPr>
          <w:rFonts w:ascii="Bookman Old Style" w:hAnsi="Bookman Old Style" w:cs="Arial"/>
          <w:b/>
          <w:sz w:val="28"/>
          <w:szCs w:val="28"/>
          <w:lang w:val="el-GR"/>
        </w:rPr>
      </w:pPr>
    </w:p>
    <w:p w14:paraId="0E033D24" w14:textId="77777777" w:rsidR="00265A85" w:rsidRPr="008518F5" w:rsidRDefault="00265A85" w:rsidP="005B4561">
      <w:pPr>
        <w:ind w:right="-35"/>
        <w:jc w:val="center"/>
        <w:rPr>
          <w:rFonts w:ascii="Bookman Old Style" w:hAnsi="Bookman Old Style" w:cs="Arial"/>
          <w:b/>
          <w:sz w:val="28"/>
          <w:szCs w:val="28"/>
          <w:lang w:val="el-GR"/>
        </w:rPr>
      </w:pPr>
    </w:p>
    <w:p w14:paraId="2D4D4441" w14:textId="5DD63873" w:rsidR="00265A85" w:rsidRPr="008518F5" w:rsidRDefault="00265A85" w:rsidP="005B4561">
      <w:pPr>
        <w:ind w:right="-35"/>
        <w:jc w:val="center"/>
        <w:rPr>
          <w:rFonts w:ascii="Bookman Old Style" w:hAnsi="Bookman Old Style" w:cs="Arial"/>
          <w:b/>
          <w:sz w:val="28"/>
          <w:szCs w:val="28"/>
          <w:lang w:val="el-GR"/>
        </w:rPr>
      </w:pPr>
      <w:r w:rsidRPr="008518F5">
        <w:rPr>
          <w:rFonts w:ascii="Bookman Old Style" w:hAnsi="Bookman Old Style" w:cs="Arial"/>
          <w:b/>
          <w:sz w:val="28"/>
          <w:szCs w:val="28"/>
          <w:lang w:val="el-GR"/>
        </w:rPr>
        <w:t>[</w:t>
      </w:r>
      <w:r w:rsidR="00397480">
        <w:rPr>
          <w:rFonts w:ascii="Bookman Old Style" w:hAnsi="Bookman Old Style" w:cs="Arial"/>
          <w:b/>
          <w:sz w:val="28"/>
          <w:szCs w:val="28"/>
          <w:lang w:val="el-GR"/>
        </w:rPr>
        <w:t>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xml:space="preserve">, </w:t>
      </w:r>
      <w:r w:rsidR="00422938" w:rsidRPr="008518F5">
        <w:rPr>
          <w:rFonts w:ascii="Bookman Old Style" w:hAnsi="Bookman Old Style" w:cs="Arial"/>
          <w:b/>
          <w:sz w:val="28"/>
          <w:szCs w:val="28"/>
          <w:lang w:val="el-GR"/>
        </w:rPr>
        <w:t>ΔΗΜΗΤΡΙΑΔΟΥ</w:t>
      </w:r>
      <w:r w:rsidRPr="008518F5">
        <w:rPr>
          <w:rFonts w:ascii="Bookman Old Style" w:hAnsi="Bookman Old Style" w:cs="Arial"/>
          <w:b/>
          <w:sz w:val="28"/>
          <w:szCs w:val="28"/>
          <w:lang w:val="el-GR"/>
        </w:rPr>
        <w:t>-</w:t>
      </w:r>
      <w:r w:rsidR="00422938" w:rsidRPr="008518F5">
        <w:rPr>
          <w:rFonts w:ascii="Bookman Old Style" w:hAnsi="Bookman Old Style" w:cs="Arial"/>
          <w:b/>
          <w:sz w:val="28"/>
          <w:szCs w:val="28"/>
          <w:lang w:val="el-GR"/>
        </w:rPr>
        <w:t>ΑΝΔΡΕ</w:t>
      </w:r>
      <w:r w:rsidRPr="008518F5">
        <w:rPr>
          <w:rFonts w:ascii="Bookman Old Style" w:hAnsi="Bookman Old Style" w:cs="Arial"/>
          <w:b/>
          <w:sz w:val="28"/>
          <w:szCs w:val="28"/>
          <w:lang w:val="el-GR"/>
        </w:rPr>
        <w:t>ΟΥ,</w:t>
      </w:r>
      <w:r w:rsidR="00397480">
        <w:rPr>
          <w:rFonts w:ascii="Bookman Old Style" w:hAnsi="Bookman Old Style" w:cs="Arial"/>
          <w:b/>
          <w:sz w:val="28"/>
          <w:szCs w:val="28"/>
          <w:lang w:val="el-GR"/>
        </w:rPr>
        <w:t xml:space="preserve"> ΔΑΥΙΔ,</w:t>
      </w:r>
      <w:r w:rsidRPr="008518F5">
        <w:rPr>
          <w:rFonts w:ascii="Bookman Old Style" w:hAnsi="Bookman Old Style" w:cs="Arial"/>
          <w:b/>
          <w:sz w:val="28"/>
          <w:szCs w:val="28"/>
          <w:lang w:val="el-GR"/>
        </w:rPr>
        <w:t xml:space="preserve"> Δ/</w:t>
      </w:r>
      <w:proofErr w:type="spellStart"/>
      <w:r w:rsidRPr="008518F5">
        <w:rPr>
          <w:rFonts w:ascii="Bookman Old Style" w:hAnsi="Bookman Old Style" w:cs="Arial"/>
          <w:b/>
          <w:sz w:val="28"/>
          <w:szCs w:val="28"/>
          <w:lang w:val="el-GR"/>
        </w:rPr>
        <w:t>στές</w:t>
      </w:r>
      <w:proofErr w:type="spellEnd"/>
      <w:r w:rsidRPr="008518F5">
        <w:rPr>
          <w:rFonts w:ascii="Bookman Old Style" w:hAnsi="Bookman Old Style" w:cs="Arial"/>
          <w:b/>
          <w:sz w:val="28"/>
          <w:szCs w:val="28"/>
          <w:lang w:val="el-GR"/>
        </w:rPr>
        <w:t>]</w:t>
      </w:r>
    </w:p>
    <w:p w14:paraId="0840319B" w14:textId="77777777" w:rsidR="00265A85" w:rsidRPr="008518F5" w:rsidRDefault="00265A85" w:rsidP="005B4561">
      <w:pPr>
        <w:ind w:right="-35"/>
        <w:jc w:val="center"/>
        <w:rPr>
          <w:rFonts w:ascii="Bookman Old Style" w:hAnsi="Bookman Old Style" w:cs="Arial"/>
          <w:sz w:val="28"/>
          <w:szCs w:val="28"/>
          <w:lang w:val="el-GR"/>
        </w:rPr>
      </w:pPr>
    </w:p>
    <w:p w14:paraId="21BBBF6F" w14:textId="77777777" w:rsidR="00265A85" w:rsidRPr="008518F5" w:rsidRDefault="00265A85" w:rsidP="005B4561">
      <w:pPr>
        <w:ind w:right="-35"/>
        <w:rPr>
          <w:rFonts w:ascii="Bookman Old Style" w:hAnsi="Bookman Old Style" w:cs="Arial"/>
          <w:sz w:val="28"/>
          <w:szCs w:val="28"/>
          <w:u w:val="single"/>
          <w:lang w:val="el-GR"/>
        </w:rPr>
      </w:pPr>
    </w:p>
    <w:p w14:paraId="3AABBAAC" w14:textId="77777777" w:rsidR="00265A85" w:rsidRPr="008518F5" w:rsidRDefault="00265A85" w:rsidP="005B4561">
      <w:pPr>
        <w:ind w:right="-35"/>
        <w:rPr>
          <w:rFonts w:ascii="Bookman Old Style" w:hAnsi="Bookman Old Style" w:cs="Arial"/>
          <w:b/>
          <w:sz w:val="28"/>
          <w:szCs w:val="28"/>
          <w:lang w:val="el-GR"/>
        </w:rPr>
      </w:pPr>
    </w:p>
    <w:p w14:paraId="69253EE9" w14:textId="5AA784D6" w:rsidR="00265A85" w:rsidRDefault="00880A4A" w:rsidP="005B4561">
      <w:pPr>
        <w:ind w:right="-35"/>
        <w:jc w:val="center"/>
        <w:rPr>
          <w:rFonts w:ascii="Bookman Old Style" w:hAnsi="Bookman Old Style" w:cs="Arial"/>
          <w:sz w:val="28"/>
          <w:szCs w:val="28"/>
          <w:lang w:val="el-GR"/>
        </w:rPr>
      </w:pPr>
      <w:r>
        <w:rPr>
          <w:rFonts w:ascii="Bookman Old Style" w:hAnsi="Bookman Old Style" w:cs="Arial"/>
          <w:sz w:val="28"/>
          <w:szCs w:val="28"/>
          <w:lang w:val="en-US"/>
        </w:rPr>
        <w:t>DAVID</w:t>
      </w:r>
      <w:r w:rsidRPr="00152154">
        <w:rPr>
          <w:rFonts w:ascii="Bookman Old Style" w:hAnsi="Bookman Old Style" w:cs="Arial"/>
          <w:sz w:val="28"/>
          <w:szCs w:val="28"/>
          <w:lang w:val="el-GR"/>
        </w:rPr>
        <w:t xml:space="preserve"> </w:t>
      </w:r>
      <w:r>
        <w:rPr>
          <w:rFonts w:ascii="Bookman Old Style" w:hAnsi="Bookman Old Style" w:cs="Arial"/>
          <w:sz w:val="28"/>
          <w:szCs w:val="28"/>
          <w:lang w:val="en-US"/>
        </w:rPr>
        <w:t>FOWLES</w:t>
      </w:r>
      <w:r w:rsidR="00265A85" w:rsidRPr="008518F5">
        <w:rPr>
          <w:rFonts w:ascii="Bookman Old Style" w:hAnsi="Bookman Old Style" w:cs="Arial"/>
          <w:sz w:val="28"/>
          <w:szCs w:val="28"/>
          <w:lang w:val="el-GR"/>
        </w:rPr>
        <w:t>,</w:t>
      </w:r>
    </w:p>
    <w:p w14:paraId="29A796A0" w14:textId="77777777" w:rsidR="001F13F5" w:rsidRDefault="001F13F5" w:rsidP="005B4561">
      <w:pPr>
        <w:ind w:right="-35"/>
        <w:jc w:val="center"/>
        <w:rPr>
          <w:rFonts w:ascii="Bookman Old Style" w:hAnsi="Bookman Old Style" w:cs="Arial"/>
          <w:sz w:val="28"/>
          <w:szCs w:val="28"/>
          <w:lang w:val="el-GR"/>
        </w:rPr>
      </w:pPr>
    </w:p>
    <w:p w14:paraId="28EE2FDB" w14:textId="77777777" w:rsidR="001F13F5" w:rsidRPr="008518F5" w:rsidRDefault="001F13F5" w:rsidP="005B4561">
      <w:pPr>
        <w:ind w:right="-35"/>
        <w:jc w:val="center"/>
        <w:rPr>
          <w:rFonts w:ascii="Bookman Old Style" w:hAnsi="Bookman Old Style" w:cs="Arial"/>
          <w:sz w:val="28"/>
          <w:szCs w:val="28"/>
          <w:lang w:val="el-GR"/>
        </w:rPr>
      </w:pPr>
    </w:p>
    <w:p w14:paraId="54EB5619" w14:textId="77777777" w:rsidR="00265A85" w:rsidRPr="008518F5" w:rsidRDefault="00265A85" w:rsidP="005B4561">
      <w:pPr>
        <w:ind w:right="-35"/>
        <w:jc w:val="center"/>
        <w:rPr>
          <w:rFonts w:ascii="Bookman Old Style" w:hAnsi="Bookman Old Style" w:cs="Arial"/>
          <w:sz w:val="28"/>
          <w:szCs w:val="28"/>
          <w:lang w:val="el-GR"/>
        </w:rPr>
      </w:pPr>
    </w:p>
    <w:p w14:paraId="6352D4AC" w14:textId="4EB07C3A" w:rsidR="00265A85" w:rsidRPr="008518F5" w:rsidRDefault="00904291" w:rsidP="005B4561">
      <w:pPr>
        <w:ind w:right="-35"/>
        <w:jc w:val="right"/>
        <w:rPr>
          <w:rFonts w:ascii="Bookman Old Style" w:hAnsi="Bookman Old Style" w:cs="Arial"/>
          <w:i/>
          <w:iCs/>
          <w:sz w:val="28"/>
          <w:szCs w:val="28"/>
          <w:lang w:val="el-GR"/>
        </w:rPr>
      </w:pPr>
      <w:proofErr w:type="spellStart"/>
      <w:r w:rsidRPr="008518F5">
        <w:rPr>
          <w:rFonts w:ascii="Bookman Old Style" w:hAnsi="Bookman Old Style" w:cs="Arial"/>
          <w:i/>
          <w:iCs/>
          <w:sz w:val="28"/>
          <w:szCs w:val="28"/>
          <w:lang w:val="el-GR"/>
        </w:rPr>
        <w:t>Εφεσείων</w:t>
      </w:r>
      <w:proofErr w:type="spellEnd"/>
      <w:r w:rsidR="00265A85" w:rsidRPr="008518F5">
        <w:rPr>
          <w:rFonts w:ascii="Bookman Old Style" w:hAnsi="Bookman Old Style" w:cs="Arial"/>
          <w:i/>
          <w:iCs/>
          <w:sz w:val="28"/>
          <w:szCs w:val="28"/>
          <w:lang w:val="el-GR"/>
        </w:rPr>
        <w:t>/Εν</w:t>
      </w:r>
      <w:r w:rsidR="00880A4A">
        <w:rPr>
          <w:rFonts w:ascii="Bookman Old Style" w:hAnsi="Bookman Old Style" w:cs="Arial"/>
          <w:i/>
          <w:iCs/>
          <w:sz w:val="28"/>
          <w:szCs w:val="28"/>
          <w:lang w:val="el-GR"/>
        </w:rPr>
        <w:t>άγων</w:t>
      </w:r>
      <w:r w:rsidR="00265A85" w:rsidRPr="008518F5">
        <w:rPr>
          <w:rFonts w:ascii="Bookman Old Style" w:hAnsi="Bookman Old Style" w:cs="Arial"/>
          <w:i/>
          <w:iCs/>
          <w:sz w:val="28"/>
          <w:szCs w:val="28"/>
          <w:lang w:val="el-GR"/>
        </w:rPr>
        <w:t>,</w:t>
      </w:r>
    </w:p>
    <w:p w14:paraId="7BB5B148" w14:textId="77777777" w:rsidR="00265A85" w:rsidRPr="008518F5" w:rsidRDefault="00265A85" w:rsidP="005B4561">
      <w:pPr>
        <w:ind w:right="-35"/>
        <w:jc w:val="right"/>
        <w:rPr>
          <w:rFonts w:ascii="Bookman Old Style" w:hAnsi="Bookman Old Style" w:cs="Arial"/>
          <w:i/>
          <w:iCs/>
          <w:sz w:val="28"/>
          <w:szCs w:val="28"/>
          <w:lang w:val="el-GR"/>
        </w:rPr>
      </w:pPr>
    </w:p>
    <w:p w14:paraId="045F1F74" w14:textId="77777777" w:rsidR="00265A85" w:rsidRPr="008518F5" w:rsidRDefault="00265A85" w:rsidP="005B4561">
      <w:pPr>
        <w:ind w:right="-35"/>
        <w:jc w:val="center"/>
        <w:rPr>
          <w:rFonts w:ascii="Bookman Old Style" w:hAnsi="Bookman Old Style" w:cs="Arial"/>
          <w:sz w:val="28"/>
          <w:szCs w:val="28"/>
          <w:lang w:val="el-GR"/>
        </w:rPr>
      </w:pPr>
      <w:r w:rsidRPr="008518F5">
        <w:rPr>
          <w:rFonts w:ascii="Bookman Old Style" w:hAnsi="Bookman Old Style" w:cs="Arial"/>
          <w:sz w:val="28"/>
          <w:szCs w:val="28"/>
          <w:lang w:val="el-GR"/>
        </w:rPr>
        <w:t>ν.</w:t>
      </w:r>
    </w:p>
    <w:p w14:paraId="50466833" w14:textId="77777777" w:rsidR="00265A85" w:rsidRPr="008518F5" w:rsidRDefault="00265A85" w:rsidP="005B4561">
      <w:pPr>
        <w:ind w:right="-35"/>
        <w:jc w:val="center"/>
        <w:rPr>
          <w:rFonts w:ascii="Bookman Old Style" w:hAnsi="Bookman Old Style" w:cs="Arial"/>
          <w:sz w:val="28"/>
          <w:szCs w:val="28"/>
          <w:lang w:val="el-GR"/>
        </w:rPr>
      </w:pPr>
    </w:p>
    <w:p w14:paraId="38185C2C" w14:textId="7E2A5257" w:rsidR="00265A85" w:rsidRDefault="00880A4A" w:rsidP="005B4561">
      <w:pPr>
        <w:ind w:right="-35"/>
        <w:jc w:val="center"/>
        <w:rPr>
          <w:rFonts w:ascii="Bookman Old Style" w:hAnsi="Bookman Old Style" w:cs="Arial"/>
          <w:sz w:val="28"/>
          <w:szCs w:val="28"/>
          <w:lang w:val="el-GR"/>
        </w:rPr>
      </w:pPr>
      <w:r>
        <w:rPr>
          <w:rFonts w:ascii="Bookman Old Style" w:hAnsi="Bookman Old Style" w:cs="Arial"/>
          <w:sz w:val="28"/>
          <w:szCs w:val="28"/>
          <w:lang w:val="el-GR"/>
        </w:rPr>
        <w:t>1. ΧΡΙΣΤΟΥ ΚΟΥΚΚΙΔΗ</w:t>
      </w:r>
      <w:r w:rsidR="00265A85" w:rsidRPr="008518F5">
        <w:rPr>
          <w:rFonts w:ascii="Bookman Old Style" w:hAnsi="Bookman Old Style" w:cs="Arial"/>
          <w:sz w:val="28"/>
          <w:szCs w:val="28"/>
          <w:lang w:val="el-GR"/>
        </w:rPr>
        <w:t>,</w:t>
      </w:r>
    </w:p>
    <w:p w14:paraId="4C17A564" w14:textId="36ECA982" w:rsidR="00880A4A" w:rsidRDefault="00880A4A" w:rsidP="00880A4A">
      <w:pPr>
        <w:ind w:right="-35"/>
        <w:rPr>
          <w:rFonts w:ascii="Bookman Old Style" w:hAnsi="Bookman Old Style" w:cs="Arial"/>
          <w:sz w:val="28"/>
          <w:szCs w:val="28"/>
          <w:lang w:val="el-GR"/>
        </w:rPr>
      </w:pPr>
      <w:r>
        <w:rPr>
          <w:rFonts w:ascii="Bookman Old Style" w:hAnsi="Bookman Old Style" w:cs="Arial"/>
          <w:sz w:val="28"/>
          <w:szCs w:val="28"/>
          <w:lang w:val="el-GR"/>
        </w:rPr>
        <w:t xml:space="preserve">                                    2.  ΜΙΧΑΛΗ ΠΟΥΠΑΖΗ,</w:t>
      </w:r>
    </w:p>
    <w:p w14:paraId="1ECDAB20" w14:textId="77777777" w:rsidR="001F13F5" w:rsidRDefault="001F13F5" w:rsidP="00880A4A">
      <w:pPr>
        <w:ind w:right="-35"/>
        <w:rPr>
          <w:rFonts w:ascii="Bookman Old Style" w:hAnsi="Bookman Old Style" w:cs="Arial"/>
          <w:sz w:val="28"/>
          <w:szCs w:val="28"/>
          <w:lang w:val="el-GR"/>
        </w:rPr>
      </w:pPr>
    </w:p>
    <w:p w14:paraId="3366E455" w14:textId="77777777" w:rsidR="001F13F5" w:rsidRDefault="001F13F5" w:rsidP="00880A4A">
      <w:pPr>
        <w:ind w:right="-35"/>
        <w:rPr>
          <w:rFonts w:ascii="Bookman Old Style" w:hAnsi="Bookman Old Style" w:cs="Arial"/>
          <w:sz w:val="28"/>
          <w:szCs w:val="28"/>
          <w:lang w:val="el-GR"/>
        </w:rPr>
      </w:pPr>
    </w:p>
    <w:p w14:paraId="2F4D2F04" w14:textId="77777777" w:rsidR="00880A4A" w:rsidRPr="008518F5" w:rsidRDefault="00880A4A" w:rsidP="00880A4A">
      <w:pPr>
        <w:ind w:right="-35"/>
        <w:rPr>
          <w:rFonts w:ascii="Bookman Old Style" w:hAnsi="Bookman Old Style" w:cs="Arial"/>
          <w:sz w:val="28"/>
          <w:szCs w:val="28"/>
          <w:lang w:val="el-GR"/>
        </w:rPr>
      </w:pPr>
    </w:p>
    <w:p w14:paraId="7D0390DC" w14:textId="2A6C7192" w:rsidR="00265A85" w:rsidRPr="008518F5" w:rsidRDefault="00265A85" w:rsidP="005B4561">
      <w:pPr>
        <w:ind w:right="-35"/>
        <w:jc w:val="right"/>
        <w:rPr>
          <w:rFonts w:ascii="Bookman Old Style" w:hAnsi="Bookman Old Style" w:cs="Arial"/>
          <w:i/>
          <w:iCs/>
          <w:sz w:val="28"/>
          <w:szCs w:val="28"/>
          <w:lang w:val="el-GR"/>
        </w:rPr>
      </w:pPr>
      <w:r w:rsidRPr="008518F5">
        <w:rPr>
          <w:rFonts w:ascii="Bookman Old Style" w:hAnsi="Bookman Old Style" w:cs="Arial"/>
          <w:i/>
          <w:iCs/>
          <w:sz w:val="28"/>
          <w:szCs w:val="28"/>
          <w:lang w:val="el-GR"/>
        </w:rPr>
        <w:t>Εφεσίβλητ</w:t>
      </w:r>
      <w:r w:rsidR="00880A4A">
        <w:rPr>
          <w:rFonts w:ascii="Bookman Old Style" w:hAnsi="Bookman Old Style" w:cs="Arial"/>
          <w:i/>
          <w:iCs/>
          <w:sz w:val="28"/>
          <w:szCs w:val="28"/>
          <w:lang w:val="el-GR"/>
        </w:rPr>
        <w:t>ων</w:t>
      </w:r>
      <w:r w:rsidRPr="008518F5">
        <w:rPr>
          <w:rFonts w:ascii="Bookman Old Style" w:hAnsi="Bookman Old Style" w:cs="Arial"/>
          <w:i/>
          <w:iCs/>
          <w:sz w:val="28"/>
          <w:szCs w:val="28"/>
          <w:lang w:val="el-GR"/>
        </w:rPr>
        <w:t>/</w:t>
      </w:r>
      <w:proofErr w:type="spellStart"/>
      <w:r w:rsidRPr="008518F5">
        <w:rPr>
          <w:rFonts w:ascii="Bookman Old Style" w:hAnsi="Bookman Old Style" w:cs="Arial"/>
          <w:i/>
          <w:iCs/>
          <w:sz w:val="28"/>
          <w:szCs w:val="28"/>
          <w:lang w:val="el-GR"/>
        </w:rPr>
        <w:t>Εν</w:t>
      </w:r>
      <w:r w:rsidR="00880A4A">
        <w:rPr>
          <w:rFonts w:ascii="Bookman Old Style" w:hAnsi="Bookman Old Style" w:cs="Arial"/>
          <w:i/>
          <w:iCs/>
          <w:sz w:val="28"/>
          <w:szCs w:val="28"/>
          <w:lang w:val="el-GR"/>
        </w:rPr>
        <w:t>αγομένων</w:t>
      </w:r>
      <w:proofErr w:type="spellEnd"/>
      <w:r w:rsidRPr="008518F5">
        <w:rPr>
          <w:rFonts w:ascii="Bookman Old Style" w:hAnsi="Bookman Old Style" w:cs="Arial"/>
          <w:i/>
          <w:iCs/>
          <w:sz w:val="28"/>
          <w:szCs w:val="28"/>
          <w:lang w:val="el-GR"/>
        </w:rPr>
        <w:t>.</w:t>
      </w:r>
    </w:p>
    <w:p w14:paraId="0CD93672" w14:textId="77777777" w:rsidR="00904291" w:rsidRPr="008518F5" w:rsidRDefault="00904291" w:rsidP="005B4561">
      <w:pPr>
        <w:ind w:right="-35"/>
        <w:jc w:val="right"/>
        <w:rPr>
          <w:rFonts w:ascii="Bookman Old Style" w:hAnsi="Bookman Old Style" w:cs="Arial"/>
          <w:i/>
          <w:iCs/>
          <w:sz w:val="28"/>
          <w:szCs w:val="28"/>
          <w:lang w:val="el-GR"/>
        </w:rPr>
      </w:pPr>
    </w:p>
    <w:p w14:paraId="040A63E6"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1DA70FAD" w14:textId="77777777" w:rsidR="00904291" w:rsidRPr="008518F5" w:rsidRDefault="00904291" w:rsidP="005B4561">
      <w:pPr>
        <w:ind w:left="397" w:right="-35" w:hanging="113"/>
        <w:jc w:val="both"/>
        <w:rPr>
          <w:rFonts w:ascii="Bookman Old Style" w:hAnsi="Bookman Old Style" w:cs="Arial"/>
          <w:i/>
          <w:iCs/>
          <w:sz w:val="28"/>
          <w:szCs w:val="28"/>
          <w:lang w:val="el-GR"/>
        </w:rPr>
      </w:pPr>
    </w:p>
    <w:p w14:paraId="2D111E44" w14:textId="051C6303" w:rsidR="00265A85" w:rsidRPr="008518F5" w:rsidRDefault="00E10F96" w:rsidP="00E10F96">
      <w:pPr>
        <w:ind w:right="-35"/>
        <w:jc w:val="both"/>
        <w:rPr>
          <w:rFonts w:ascii="Bookman Old Style" w:hAnsi="Bookman Old Style" w:cs="Arial"/>
          <w:iCs/>
          <w:sz w:val="28"/>
          <w:szCs w:val="28"/>
          <w:lang w:val="el-GR"/>
        </w:rPr>
      </w:pPr>
      <w:r>
        <w:rPr>
          <w:rFonts w:ascii="Bookman Old Style" w:hAnsi="Bookman Old Style" w:cs="Arial"/>
          <w:i/>
          <w:iCs/>
          <w:sz w:val="28"/>
          <w:szCs w:val="28"/>
          <w:lang w:val="el-GR"/>
        </w:rPr>
        <w:t xml:space="preserve">    </w:t>
      </w:r>
      <w:proofErr w:type="spellStart"/>
      <w:r w:rsidR="00152154">
        <w:rPr>
          <w:rFonts w:ascii="Bookman Old Style" w:hAnsi="Bookman Old Style" w:cs="Arial"/>
          <w:i/>
          <w:iCs/>
          <w:sz w:val="28"/>
          <w:szCs w:val="28"/>
          <w:lang w:val="el-GR"/>
        </w:rPr>
        <w:t>Στ</w:t>
      </w:r>
      <w:proofErr w:type="spellEnd"/>
      <w:r w:rsidR="00152154">
        <w:rPr>
          <w:rFonts w:ascii="Bookman Old Style" w:hAnsi="Bookman Old Style" w:cs="Arial"/>
          <w:i/>
          <w:iCs/>
          <w:sz w:val="28"/>
          <w:szCs w:val="28"/>
          <w:lang w:val="el-GR"/>
        </w:rPr>
        <w:t>. Σάββα για Παπαντωνίου &amp; Παπαντωνίου ΔΕΠΕ</w:t>
      </w:r>
      <w:r w:rsidR="00152154">
        <w:rPr>
          <w:rFonts w:ascii="Bookman Old Style" w:hAnsi="Bookman Old Style" w:cs="Arial"/>
          <w:sz w:val="28"/>
          <w:szCs w:val="28"/>
          <w:lang w:val="el-GR"/>
        </w:rPr>
        <w:t xml:space="preserve">, </w:t>
      </w:r>
      <w:r w:rsidR="00265A85" w:rsidRPr="008518F5">
        <w:rPr>
          <w:rFonts w:ascii="Bookman Old Style" w:hAnsi="Bookman Old Style" w:cs="Arial"/>
          <w:iCs/>
          <w:sz w:val="28"/>
          <w:szCs w:val="28"/>
          <w:lang w:val="el-GR"/>
        </w:rPr>
        <w:t xml:space="preserve">για τον </w:t>
      </w:r>
      <w:proofErr w:type="spellStart"/>
      <w:r w:rsidR="00265A85" w:rsidRPr="008518F5">
        <w:rPr>
          <w:rFonts w:ascii="Bookman Old Style" w:hAnsi="Bookman Old Style" w:cs="Arial"/>
          <w:iCs/>
          <w:sz w:val="28"/>
          <w:szCs w:val="28"/>
          <w:lang w:val="el-GR"/>
        </w:rPr>
        <w:t>Εφεσείοντα</w:t>
      </w:r>
      <w:proofErr w:type="spellEnd"/>
      <w:r w:rsidR="00265A85" w:rsidRPr="008518F5">
        <w:rPr>
          <w:rFonts w:ascii="Bookman Old Style" w:hAnsi="Bookman Old Style" w:cs="Arial"/>
          <w:iCs/>
          <w:sz w:val="28"/>
          <w:szCs w:val="28"/>
          <w:lang w:val="el-GR"/>
        </w:rPr>
        <w:t>.</w:t>
      </w:r>
    </w:p>
    <w:p w14:paraId="04C2D5F2" w14:textId="77777777" w:rsidR="00265A85" w:rsidRPr="008518F5" w:rsidRDefault="00265A85" w:rsidP="005B4561">
      <w:pPr>
        <w:ind w:left="397" w:right="-35" w:hanging="113"/>
        <w:jc w:val="both"/>
        <w:rPr>
          <w:rFonts w:ascii="Bookman Old Style" w:hAnsi="Bookman Old Style" w:cs="Arial"/>
          <w:iCs/>
          <w:sz w:val="28"/>
          <w:szCs w:val="28"/>
          <w:lang w:val="el-GR"/>
        </w:rPr>
      </w:pPr>
    </w:p>
    <w:p w14:paraId="41966414" w14:textId="02B1EC14" w:rsidR="00265A85" w:rsidRDefault="00152154" w:rsidP="005B4561">
      <w:pPr>
        <w:ind w:left="397" w:right="-35" w:hanging="113"/>
        <w:jc w:val="both"/>
        <w:rPr>
          <w:rFonts w:ascii="Bookman Old Style" w:hAnsi="Bookman Old Style" w:cs="Arial"/>
          <w:sz w:val="28"/>
          <w:szCs w:val="28"/>
          <w:lang w:val="el-GR"/>
        </w:rPr>
      </w:pPr>
      <w:proofErr w:type="spellStart"/>
      <w:r>
        <w:rPr>
          <w:rFonts w:ascii="Bookman Old Style" w:hAnsi="Bookman Old Style" w:cs="Arial"/>
          <w:i/>
          <w:sz w:val="28"/>
          <w:szCs w:val="28"/>
          <w:lang w:val="el-GR"/>
        </w:rPr>
        <w:t>Γρ</w:t>
      </w:r>
      <w:proofErr w:type="spellEnd"/>
      <w:r>
        <w:rPr>
          <w:rFonts w:ascii="Bookman Old Style" w:hAnsi="Bookman Old Style" w:cs="Arial"/>
          <w:i/>
          <w:sz w:val="28"/>
          <w:szCs w:val="28"/>
          <w:lang w:val="el-GR"/>
        </w:rPr>
        <w:t>. Σαββίδης</w:t>
      </w:r>
      <w:r>
        <w:rPr>
          <w:rFonts w:ascii="Bookman Old Style" w:hAnsi="Bookman Old Style" w:cs="Arial"/>
          <w:iCs/>
          <w:sz w:val="28"/>
          <w:szCs w:val="28"/>
          <w:lang w:val="el-GR"/>
        </w:rPr>
        <w:t xml:space="preserve">, </w:t>
      </w:r>
      <w:r w:rsidR="00265A85" w:rsidRPr="008518F5">
        <w:rPr>
          <w:rFonts w:ascii="Bookman Old Style" w:hAnsi="Bookman Old Style" w:cs="Arial"/>
          <w:sz w:val="28"/>
          <w:szCs w:val="28"/>
          <w:lang w:val="el-GR"/>
        </w:rPr>
        <w:t>για το</w:t>
      </w:r>
      <w:r>
        <w:rPr>
          <w:rFonts w:ascii="Bookman Old Style" w:hAnsi="Bookman Old Style" w:cs="Arial"/>
          <w:sz w:val="28"/>
          <w:szCs w:val="28"/>
          <w:lang w:val="el-GR"/>
        </w:rPr>
        <w:t>ν</w:t>
      </w:r>
      <w:r w:rsidR="00265A85" w:rsidRPr="008518F5">
        <w:rPr>
          <w:rFonts w:ascii="Bookman Old Style" w:hAnsi="Bookman Old Style" w:cs="Arial"/>
          <w:sz w:val="28"/>
          <w:szCs w:val="28"/>
          <w:lang w:val="el-GR"/>
        </w:rPr>
        <w:t xml:space="preserve"> Εφεσίβλητο</w:t>
      </w:r>
      <w:r>
        <w:rPr>
          <w:rFonts w:ascii="Bookman Old Style" w:hAnsi="Bookman Old Style" w:cs="Arial"/>
          <w:sz w:val="28"/>
          <w:szCs w:val="28"/>
          <w:lang w:val="el-GR"/>
        </w:rPr>
        <w:t xml:space="preserve"> 1.</w:t>
      </w:r>
    </w:p>
    <w:p w14:paraId="4EB35DAB" w14:textId="77777777" w:rsidR="00152154" w:rsidRDefault="00152154" w:rsidP="005B4561">
      <w:pPr>
        <w:ind w:left="397" w:right="-35" w:hanging="113"/>
        <w:jc w:val="both"/>
        <w:rPr>
          <w:rFonts w:ascii="Bookman Old Style" w:hAnsi="Bookman Old Style" w:cs="Arial"/>
          <w:iCs/>
          <w:sz w:val="28"/>
          <w:szCs w:val="28"/>
          <w:lang w:val="el-GR"/>
        </w:rPr>
      </w:pPr>
    </w:p>
    <w:p w14:paraId="459F000F" w14:textId="6F296CFB" w:rsidR="00152154" w:rsidRPr="00152154" w:rsidRDefault="004F45B5" w:rsidP="005B4561">
      <w:pPr>
        <w:ind w:left="397" w:right="-35" w:hanging="113"/>
        <w:jc w:val="both"/>
        <w:rPr>
          <w:rFonts w:ascii="Bookman Old Style" w:hAnsi="Bookman Old Style" w:cs="Arial"/>
          <w:iCs/>
          <w:sz w:val="28"/>
          <w:szCs w:val="28"/>
          <w:lang w:val="el-GR"/>
        </w:rPr>
      </w:pPr>
      <w:r>
        <w:rPr>
          <w:rFonts w:ascii="Bookman Old Style" w:hAnsi="Bookman Old Style" w:cs="Arial"/>
          <w:i/>
          <w:sz w:val="28"/>
          <w:szCs w:val="28"/>
          <w:lang w:val="el-GR"/>
        </w:rPr>
        <w:t xml:space="preserve">Γ. </w:t>
      </w:r>
      <w:proofErr w:type="spellStart"/>
      <w:r>
        <w:rPr>
          <w:rFonts w:ascii="Bookman Old Style" w:hAnsi="Bookman Old Style" w:cs="Arial"/>
          <w:i/>
          <w:sz w:val="28"/>
          <w:szCs w:val="28"/>
          <w:lang w:val="el-GR"/>
        </w:rPr>
        <w:t>Ζαχαρίου</w:t>
      </w:r>
      <w:proofErr w:type="spellEnd"/>
      <w:r>
        <w:rPr>
          <w:rFonts w:ascii="Bookman Old Style" w:hAnsi="Bookman Old Style" w:cs="Arial"/>
          <w:i/>
          <w:sz w:val="28"/>
          <w:szCs w:val="28"/>
          <w:lang w:val="el-GR"/>
        </w:rPr>
        <w:t xml:space="preserve"> (κα) για </w:t>
      </w:r>
      <w:r w:rsidR="00152154">
        <w:rPr>
          <w:rFonts w:ascii="Bookman Old Style" w:hAnsi="Bookman Old Style" w:cs="Arial"/>
          <w:i/>
          <w:sz w:val="28"/>
          <w:szCs w:val="28"/>
          <w:lang w:val="el-GR"/>
        </w:rPr>
        <w:t xml:space="preserve">Α.Β. </w:t>
      </w:r>
      <w:proofErr w:type="spellStart"/>
      <w:r w:rsidR="00152154">
        <w:rPr>
          <w:rFonts w:ascii="Bookman Old Style" w:hAnsi="Bookman Old Style" w:cs="Arial"/>
          <w:i/>
          <w:sz w:val="28"/>
          <w:szCs w:val="28"/>
          <w:lang w:val="el-GR"/>
        </w:rPr>
        <w:t>Ζαχαρίου</w:t>
      </w:r>
      <w:proofErr w:type="spellEnd"/>
      <w:r w:rsidR="00152154">
        <w:rPr>
          <w:rFonts w:ascii="Bookman Old Style" w:hAnsi="Bookman Old Style" w:cs="Arial"/>
          <w:i/>
          <w:sz w:val="28"/>
          <w:szCs w:val="28"/>
          <w:lang w:val="el-GR"/>
        </w:rPr>
        <w:t xml:space="preserve"> &amp; Σία ΔΕΠΕ</w:t>
      </w:r>
      <w:r w:rsidR="00152154">
        <w:rPr>
          <w:rFonts w:ascii="Bookman Old Style" w:hAnsi="Bookman Old Style" w:cs="Arial"/>
          <w:iCs/>
          <w:sz w:val="28"/>
          <w:szCs w:val="28"/>
          <w:lang w:val="el-GR"/>
        </w:rPr>
        <w:t>, για τον Εφεσίβλητο 2.</w:t>
      </w:r>
    </w:p>
    <w:p w14:paraId="418A31D3" w14:textId="77777777" w:rsidR="00904291" w:rsidRPr="008518F5" w:rsidRDefault="00904291" w:rsidP="005B4561">
      <w:pPr>
        <w:ind w:left="397" w:right="-35" w:hanging="113"/>
        <w:jc w:val="both"/>
        <w:rPr>
          <w:rFonts w:ascii="Bookman Old Style" w:hAnsi="Bookman Old Style" w:cs="Arial"/>
          <w:iCs/>
          <w:sz w:val="28"/>
          <w:szCs w:val="28"/>
          <w:lang w:val="el-GR"/>
        </w:rPr>
      </w:pPr>
    </w:p>
    <w:p w14:paraId="6DA64E55" w14:textId="77777777" w:rsidR="00904291" w:rsidRPr="008518F5" w:rsidRDefault="00904291" w:rsidP="005B4561">
      <w:pPr>
        <w:ind w:right="-35"/>
        <w:jc w:val="center"/>
        <w:rPr>
          <w:rFonts w:ascii="Bookman Old Style" w:hAnsi="Bookman Old Style" w:cs="Arial"/>
          <w:iCs/>
          <w:sz w:val="28"/>
          <w:szCs w:val="28"/>
          <w:lang w:val="el-GR"/>
        </w:rPr>
      </w:pPr>
      <w:r w:rsidRPr="008518F5">
        <w:rPr>
          <w:rFonts w:ascii="Bookman Old Style" w:hAnsi="Bookman Old Style" w:cs="Arial"/>
          <w:iCs/>
          <w:sz w:val="28"/>
          <w:szCs w:val="28"/>
          <w:lang w:val="el-GR"/>
        </w:rPr>
        <w:t>________________________________________________</w:t>
      </w:r>
    </w:p>
    <w:p w14:paraId="2017F530" w14:textId="77777777" w:rsidR="00904291" w:rsidRPr="008518F5" w:rsidRDefault="00904291" w:rsidP="005B4561">
      <w:pPr>
        <w:spacing w:line="360" w:lineRule="auto"/>
        <w:ind w:left="2610" w:right="-35" w:hanging="2326"/>
        <w:jc w:val="both"/>
        <w:rPr>
          <w:rFonts w:ascii="Bookman Old Style" w:hAnsi="Bookman Old Style" w:cs="Arial"/>
          <w:b/>
          <w:sz w:val="28"/>
          <w:szCs w:val="28"/>
          <w:lang w:val="el-GR"/>
        </w:rPr>
      </w:pPr>
    </w:p>
    <w:p w14:paraId="5225F1E7" w14:textId="1C2C865C" w:rsidR="00E544DA" w:rsidRDefault="00E86246" w:rsidP="005B4561">
      <w:pPr>
        <w:spacing w:line="360" w:lineRule="auto"/>
        <w:ind w:left="2610" w:right="-35" w:hanging="2326"/>
        <w:jc w:val="both"/>
        <w:rPr>
          <w:rFonts w:ascii="Bookman Old Style" w:hAnsi="Bookman Old Style" w:cs="Arial"/>
          <w:b/>
          <w:sz w:val="28"/>
          <w:szCs w:val="28"/>
          <w:lang w:val="el-GR"/>
        </w:rPr>
      </w:pPr>
      <w:r>
        <w:rPr>
          <w:rFonts w:ascii="Bookman Old Style" w:hAnsi="Bookman Old Style" w:cs="Arial"/>
          <w:b/>
          <w:sz w:val="28"/>
          <w:szCs w:val="28"/>
          <w:lang w:val="el-GR"/>
        </w:rPr>
        <w:lastRenderedPageBreak/>
        <w:t>ΓΙΑΣΕΜΗ</w:t>
      </w:r>
      <w:r w:rsidR="00853085">
        <w:rPr>
          <w:rFonts w:ascii="Bookman Old Style" w:hAnsi="Bookman Old Style" w:cs="Arial"/>
          <w:b/>
          <w:sz w:val="28"/>
          <w:szCs w:val="28"/>
          <w:lang w:val="el-GR"/>
        </w:rPr>
        <w:t>Σ</w:t>
      </w:r>
      <w:r w:rsidR="00E544DA" w:rsidRPr="008518F5">
        <w:rPr>
          <w:rFonts w:ascii="Bookman Old Style" w:hAnsi="Bookman Old Style" w:cs="Arial"/>
          <w:b/>
          <w:sz w:val="28"/>
          <w:szCs w:val="28"/>
          <w:lang w:val="el-GR"/>
        </w:rPr>
        <w:t xml:space="preserve">, Δ.:  Η </w:t>
      </w:r>
      <w:r w:rsidR="008518F5" w:rsidRPr="008518F5">
        <w:rPr>
          <w:rFonts w:ascii="Bookman Old Style" w:hAnsi="Bookman Old Style" w:cs="Arial"/>
          <w:b/>
          <w:sz w:val="28"/>
          <w:szCs w:val="28"/>
          <w:lang w:val="el-GR"/>
        </w:rPr>
        <w:t>Α</w:t>
      </w:r>
      <w:r w:rsidR="00E544DA" w:rsidRPr="008518F5">
        <w:rPr>
          <w:rFonts w:ascii="Bookman Old Style" w:hAnsi="Bookman Old Style" w:cs="Arial"/>
          <w:b/>
          <w:sz w:val="28"/>
          <w:szCs w:val="28"/>
          <w:lang w:val="el-GR"/>
        </w:rPr>
        <w:t>πόφαση είναι ομόφωνη, θα απαγγελθεί από τη Δικαστή Δημητριάδου-Ανδρέου.</w:t>
      </w:r>
    </w:p>
    <w:p w14:paraId="356DA722" w14:textId="4D99B1DB" w:rsidR="001F13F5" w:rsidRPr="001F13F5" w:rsidRDefault="001F13F5" w:rsidP="005B4561">
      <w:pPr>
        <w:spacing w:line="360" w:lineRule="auto"/>
        <w:ind w:left="2610" w:right="-35" w:hanging="2326"/>
        <w:jc w:val="both"/>
        <w:rPr>
          <w:rFonts w:ascii="Bookman Old Style" w:hAnsi="Bookman Old Style" w:cs="Arial"/>
          <w:b/>
          <w:sz w:val="28"/>
          <w:szCs w:val="28"/>
          <w:u w:val="thick"/>
          <w:lang w:val="el-GR"/>
        </w:rPr>
      </w:pPr>
      <w:r>
        <w:rPr>
          <w:rFonts w:ascii="Bookman Old Style" w:hAnsi="Bookman Old Style" w:cs="Arial"/>
          <w:b/>
          <w:sz w:val="28"/>
          <w:szCs w:val="28"/>
          <w:u w:val="thick"/>
          <w:lang w:val="el-GR"/>
        </w:rPr>
        <w:t>___________________________________________________________________</w:t>
      </w:r>
    </w:p>
    <w:p w14:paraId="4B9000DD" w14:textId="77777777" w:rsidR="00C93219" w:rsidRDefault="00C93219" w:rsidP="005B4561">
      <w:pPr>
        <w:spacing w:line="360" w:lineRule="auto"/>
        <w:ind w:right="-35"/>
        <w:jc w:val="center"/>
        <w:rPr>
          <w:rFonts w:ascii="Bookman Old Style" w:hAnsi="Bookman Old Style" w:cs="Arial"/>
          <w:b/>
          <w:bCs/>
          <w:caps/>
          <w:sz w:val="36"/>
          <w:szCs w:val="36"/>
          <w:u w:val="thick"/>
          <w:lang w:val="el-GR"/>
        </w:rPr>
      </w:pPr>
    </w:p>
    <w:p w14:paraId="21CB534D" w14:textId="4DB24864" w:rsidR="00265A85" w:rsidRDefault="00265A85" w:rsidP="005B4561">
      <w:pPr>
        <w:spacing w:line="360" w:lineRule="auto"/>
        <w:ind w:right="-35"/>
        <w:jc w:val="center"/>
        <w:rPr>
          <w:rFonts w:ascii="Bookman Old Style" w:hAnsi="Bookman Old Style" w:cs="Arial"/>
          <w:b/>
          <w:bCs/>
          <w:caps/>
          <w:sz w:val="36"/>
          <w:szCs w:val="36"/>
          <w:u w:val="thick"/>
          <w:lang w:val="el-GR"/>
        </w:rPr>
      </w:pPr>
      <w:r w:rsidRPr="00E10F96">
        <w:rPr>
          <w:rFonts w:ascii="Bookman Old Style" w:hAnsi="Bookman Old Style" w:cs="Arial"/>
          <w:b/>
          <w:bCs/>
          <w:caps/>
          <w:sz w:val="36"/>
          <w:szCs w:val="36"/>
          <w:u w:val="thick"/>
          <w:lang w:val="el-GR"/>
        </w:rPr>
        <w:t>Α Π Ο Φ Α Σ Η</w:t>
      </w:r>
    </w:p>
    <w:p w14:paraId="10476C3F" w14:textId="77777777" w:rsidR="00265A85" w:rsidRPr="008518F5" w:rsidRDefault="00265A85" w:rsidP="005B4561">
      <w:pPr>
        <w:tabs>
          <w:tab w:val="left" w:pos="624"/>
        </w:tabs>
        <w:ind w:left="681" w:right="-35" w:hanging="397"/>
        <w:jc w:val="both"/>
        <w:rPr>
          <w:rFonts w:ascii="Bookman Old Style" w:hAnsi="Bookman Old Style" w:cs="Arial"/>
          <w:b/>
          <w:bCs/>
          <w:sz w:val="28"/>
          <w:szCs w:val="28"/>
          <w:lang w:val="el-GR"/>
        </w:rPr>
      </w:pPr>
    </w:p>
    <w:p w14:paraId="507356CC" w14:textId="1EB1056A" w:rsidR="00422938" w:rsidRDefault="00422938" w:rsidP="00963265">
      <w:pPr>
        <w:spacing w:line="480" w:lineRule="auto"/>
        <w:ind w:right="-35"/>
        <w:jc w:val="both"/>
        <w:rPr>
          <w:rFonts w:ascii="Bookman Old Style" w:hAnsi="Bookman Old Style" w:cs="Arial"/>
          <w:sz w:val="28"/>
          <w:szCs w:val="28"/>
          <w:lang w:val="el-GR"/>
        </w:rPr>
      </w:pPr>
      <w:r w:rsidRPr="008518F5">
        <w:rPr>
          <w:rFonts w:ascii="Bookman Old Style" w:hAnsi="Bookman Old Style" w:cs="Arial"/>
          <w:b/>
          <w:sz w:val="28"/>
          <w:szCs w:val="28"/>
          <w:lang w:val="el-GR"/>
        </w:rPr>
        <w:t>ΔΗΜΗΤΡΙΑΔΟΥ-ΑΝΔΡΕΟΥ</w:t>
      </w:r>
      <w:r w:rsidR="00265A85" w:rsidRPr="008518F5">
        <w:rPr>
          <w:rFonts w:ascii="Bookman Old Style" w:hAnsi="Bookman Old Style" w:cs="Arial"/>
          <w:b/>
          <w:sz w:val="28"/>
          <w:szCs w:val="28"/>
          <w:lang w:val="el-GR"/>
        </w:rPr>
        <w:t>, Δ</w:t>
      </w:r>
      <w:r w:rsidR="00265A85" w:rsidRPr="008518F5">
        <w:rPr>
          <w:rFonts w:ascii="Bookman Old Style" w:hAnsi="Bookman Old Style" w:cs="Arial"/>
          <w:sz w:val="28"/>
          <w:szCs w:val="28"/>
          <w:lang w:val="el-GR"/>
        </w:rPr>
        <w:t>.:</w:t>
      </w:r>
      <w:r w:rsidR="002A631C" w:rsidRPr="008518F5">
        <w:rPr>
          <w:rFonts w:ascii="Bookman Old Style" w:hAnsi="Bookman Old Style" w:cs="Arial"/>
          <w:sz w:val="28"/>
          <w:szCs w:val="28"/>
          <w:lang w:val="el-GR"/>
        </w:rPr>
        <w:t xml:space="preserve"> </w:t>
      </w:r>
      <w:r w:rsidR="001B2C5A">
        <w:rPr>
          <w:rFonts w:ascii="Bookman Old Style" w:hAnsi="Bookman Old Style" w:cs="Arial"/>
          <w:sz w:val="28"/>
          <w:szCs w:val="28"/>
          <w:lang w:val="el-GR"/>
        </w:rPr>
        <w:t xml:space="preserve">Αντικείμενο της παρούσας Έφεσης είναι η Απόφαση του Επαρχιακού Δικαστηρίου Λάρνακας (εφεξής πρωτόδικο Δικαστήριο), </w:t>
      </w:r>
      <w:proofErr w:type="spellStart"/>
      <w:r w:rsidR="001B2C5A">
        <w:rPr>
          <w:rFonts w:ascii="Bookman Old Style" w:hAnsi="Bookman Old Style" w:cs="Arial"/>
          <w:sz w:val="28"/>
          <w:szCs w:val="28"/>
          <w:lang w:val="el-GR"/>
        </w:rPr>
        <w:t>ημερ</w:t>
      </w:r>
      <w:proofErr w:type="spellEnd"/>
      <w:r w:rsidR="001B2C5A">
        <w:rPr>
          <w:rFonts w:ascii="Bookman Old Style" w:hAnsi="Bookman Old Style" w:cs="Arial"/>
          <w:sz w:val="28"/>
          <w:szCs w:val="28"/>
          <w:lang w:val="el-GR"/>
        </w:rPr>
        <w:t xml:space="preserve">. 30/1/2015, στην Αγωγή με </w:t>
      </w:r>
      <w:proofErr w:type="spellStart"/>
      <w:r w:rsidR="001B2C5A">
        <w:rPr>
          <w:rFonts w:ascii="Bookman Old Style" w:hAnsi="Bookman Old Style" w:cs="Arial"/>
          <w:sz w:val="28"/>
          <w:szCs w:val="28"/>
          <w:lang w:val="el-GR"/>
        </w:rPr>
        <w:t>αρ</w:t>
      </w:r>
      <w:proofErr w:type="spellEnd"/>
      <w:r w:rsidR="001B2C5A">
        <w:rPr>
          <w:rFonts w:ascii="Bookman Old Style" w:hAnsi="Bookman Old Style" w:cs="Arial"/>
          <w:sz w:val="28"/>
          <w:szCs w:val="28"/>
          <w:lang w:val="el-GR"/>
        </w:rPr>
        <w:t>. 3371/2010, με την οποία το πρωτόδικο Δικαστήριο απέρριψε</w:t>
      </w:r>
      <w:r w:rsidR="009F7C5D">
        <w:rPr>
          <w:rFonts w:ascii="Bookman Old Style" w:hAnsi="Bookman Old Style" w:cs="Arial"/>
          <w:sz w:val="28"/>
          <w:szCs w:val="28"/>
          <w:lang w:val="el-GR"/>
        </w:rPr>
        <w:t xml:space="preserve"> την εν λόγω Αγωγή</w:t>
      </w:r>
      <w:r w:rsidR="001B2C5A">
        <w:rPr>
          <w:rFonts w:ascii="Bookman Old Style" w:hAnsi="Bookman Old Style" w:cs="Arial"/>
          <w:sz w:val="28"/>
          <w:szCs w:val="28"/>
          <w:lang w:val="el-GR"/>
        </w:rPr>
        <w:t>.</w:t>
      </w:r>
    </w:p>
    <w:p w14:paraId="4E753C4C" w14:textId="77777777" w:rsidR="001B2C5A" w:rsidRDefault="001B2C5A" w:rsidP="00963265">
      <w:pPr>
        <w:spacing w:line="480" w:lineRule="auto"/>
        <w:ind w:right="-35"/>
        <w:jc w:val="both"/>
        <w:rPr>
          <w:rFonts w:ascii="Bookman Old Style" w:hAnsi="Bookman Old Style" w:cs="Arial"/>
          <w:sz w:val="28"/>
          <w:szCs w:val="28"/>
          <w:lang w:val="el-GR"/>
        </w:rPr>
      </w:pPr>
    </w:p>
    <w:p w14:paraId="7663BD2E" w14:textId="1CB85356" w:rsidR="001B2C5A" w:rsidRDefault="001B2C5A"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την πιο πάνω Αγωγή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αξίωνε αποζημιώσεις λόγω δόλου και/ή απάτης και/ή ψευδών παραστάσεων και/ή παράβασης σύμβασης και/ή των εκ του Νόμου απορρεόντων καθηκόντων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1 και 2 σε βάρος του. </w:t>
      </w:r>
    </w:p>
    <w:p w14:paraId="59E0BAF2" w14:textId="77777777" w:rsidR="00E3530C" w:rsidRDefault="00E3530C" w:rsidP="00963265">
      <w:pPr>
        <w:spacing w:line="480" w:lineRule="auto"/>
        <w:ind w:right="-35"/>
        <w:jc w:val="both"/>
        <w:rPr>
          <w:rFonts w:ascii="Bookman Old Style" w:hAnsi="Bookman Old Style" w:cs="Arial"/>
          <w:sz w:val="28"/>
          <w:szCs w:val="28"/>
          <w:lang w:val="el-GR"/>
        </w:rPr>
      </w:pPr>
    </w:p>
    <w:p w14:paraId="099453F3" w14:textId="1496EBAC" w:rsidR="00E3530C" w:rsidRDefault="00E3530C"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Προτού αναφερθούμε στους Λόγους Έφεσης κρίνεται αναγκαία, για σκοπούς ευχερέστερης αντίληψης της ουσίας της επίδικης διαφοράς και των όσων έπονται, η παράθεση των πιο κάτω μη αμφισβητούμενων γεγονότων, αλλά και των εκδοχών που προβλήθηκαν εκατέρωθεν.</w:t>
      </w:r>
    </w:p>
    <w:p w14:paraId="17E8B502" w14:textId="77777777" w:rsidR="00E3530C" w:rsidRDefault="00E3530C" w:rsidP="00963265">
      <w:pPr>
        <w:spacing w:line="480" w:lineRule="auto"/>
        <w:ind w:right="-35"/>
        <w:jc w:val="both"/>
        <w:rPr>
          <w:rFonts w:ascii="Bookman Old Style" w:hAnsi="Bookman Old Style" w:cs="Arial"/>
          <w:sz w:val="28"/>
          <w:szCs w:val="28"/>
          <w:lang w:val="el-GR"/>
        </w:rPr>
      </w:pPr>
    </w:p>
    <w:p w14:paraId="1AFAAC24" w14:textId="0A3A55AE" w:rsidR="00FB4E50" w:rsidRDefault="00FB4E50"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Εφεσίβλητος 1 ήταν </w:t>
      </w:r>
      <w:r w:rsidR="009F7C5D">
        <w:rPr>
          <w:rFonts w:ascii="Bookman Old Style" w:hAnsi="Bookman Old Style" w:cs="Arial"/>
          <w:sz w:val="28"/>
          <w:szCs w:val="28"/>
          <w:lang w:val="el-GR"/>
        </w:rPr>
        <w:t>Δ</w:t>
      </w:r>
      <w:r>
        <w:rPr>
          <w:rFonts w:ascii="Bookman Old Style" w:hAnsi="Bookman Old Style" w:cs="Arial"/>
          <w:sz w:val="28"/>
          <w:szCs w:val="28"/>
          <w:lang w:val="el-GR"/>
        </w:rPr>
        <w:t xml:space="preserve">ιευθύνων </w:t>
      </w:r>
      <w:r w:rsidR="009F7C5D">
        <w:rPr>
          <w:rFonts w:ascii="Bookman Old Style" w:hAnsi="Bookman Old Style" w:cs="Arial"/>
          <w:sz w:val="28"/>
          <w:szCs w:val="28"/>
          <w:lang w:val="el-GR"/>
        </w:rPr>
        <w:t>Σ</w:t>
      </w:r>
      <w:r>
        <w:rPr>
          <w:rFonts w:ascii="Bookman Old Style" w:hAnsi="Bookman Old Style" w:cs="Arial"/>
          <w:sz w:val="28"/>
          <w:szCs w:val="28"/>
          <w:lang w:val="el-GR"/>
        </w:rPr>
        <w:t xml:space="preserve">ύμβουλος και μέτοχος με ποσοστό 50% στην Εταιρεία </w:t>
      </w:r>
      <w:r>
        <w:rPr>
          <w:rFonts w:ascii="Bookman Old Style" w:hAnsi="Bookman Old Style" w:cs="Arial"/>
          <w:sz w:val="28"/>
          <w:szCs w:val="28"/>
          <w:lang w:val="en-US"/>
        </w:rPr>
        <w:t>A</w:t>
      </w:r>
      <w:r w:rsidRPr="00FB4E50">
        <w:rPr>
          <w:rFonts w:ascii="Bookman Old Style" w:hAnsi="Bookman Old Style" w:cs="Arial"/>
          <w:sz w:val="28"/>
          <w:szCs w:val="28"/>
          <w:lang w:val="el-GR"/>
        </w:rPr>
        <w:t>.</w:t>
      </w:r>
      <w:r>
        <w:rPr>
          <w:rFonts w:ascii="Bookman Old Style" w:hAnsi="Bookman Old Style" w:cs="Arial"/>
          <w:sz w:val="28"/>
          <w:szCs w:val="28"/>
          <w:lang w:val="el-GR"/>
        </w:rPr>
        <w:t xml:space="preserve">K.P.CH. </w:t>
      </w:r>
      <w:proofErr w:type="spellStart"/>
      <w:r>
        <w:rPr>
          <w:rFonts w:ascii="Bookman Old Style" w:hAnsi="Bookman Old Style" w:cs="Arial"/>
          <w:sz w:val="28"/>
          <w:szCs w:val="28"/>
          <w:lang w:val="el-GR"/>
        </w:rPr>
        <w:t>Entertainment</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Ltd</w:t>
      </w:r>
      <w:proofErr w:type="spellEnd"/>
      <w:r>
        <w:rPr>
          <w:rFonts w:ascii="Bookman Old Style" w:hAnsi="Bookman Old Style" w:cs="Arial"/>
          <w:sz w:val="28"/>
          <w:szCs w:val="28"/>
          <w:lang w:val="el-GR"/>
        </w:rPr>
        <w:t xml:space="preserve">, η οποία ασκούσε </w:t>
      </w:r>
      <w:r>
        <w:rPr>
          <w:rFonts w:ascii="Bookman Old Style" w:hAnsi="Bookman Old Style" w:cs="Arial"/>
          <w:sz w:val="28"/>
          <w:szCs w:val="28"/>
          <w:lang w:val="el-GR"/>
        </w:rPr>
        <w:lastRenderedPageBreak/>
        <w:t xml:space="preserve">επιχειρηματικές δραστηριότητες λειτουργίας και εκμετάλλευσης μπυραρίας – καφετερίας στη Λάρνακα με την ονομασία </w:t>
      </w:r>
      <w:bookmarkStart w:id="0" w:name="_Hlk156042786"/>
      <w:r>
        <w:rPr>
          <w:rFonts w:ascii="Bookman Old Style" w:hAnsi="Bookman Old Style" w:cs="Arial"/>
          <w:sz w:val="28"/>
          <w:szCs w:val="28"/>
          <w:lang w:val="el-GR"/>
        </w:rPr>
        <w:t>«</w:t>
      </w:r>
      <w:r>
        <w:rPr>
          <w:rFonts w:ascii="Bookman Old Style" w:hAnsi="Bookman Old Style" w:cs="Arial"/>
          <w:sz w:val="28"/>
          <w:szCs w:val="28"/>
          <w:lang w:val="en-US"/>
        </w:rPr>
        <w:t>Club</w:t>
      </w:r>
      <w:r w:rsidRPr="00FB4E50">
        <w:rPr>
          <w:rFonts w:ascii="Bookman Old Style" w:hAnsi="Bookman Old Style" w:cs="Arial"/>
          <w:sz w:val="28"/>
          <w:szCs w:val="28"/>
          <w:lang w:val="el-GR"/>
        </w:rPr>
        <w:t xml:space="preserve"> </w:t>
      </w:r>
      <w:r>
        <w:rPr>
          <w:rFonts w:ascii="Bookman Old Style" w:hAnsi="Bookman Old Style" w:cs="Arial"/>
          <w:sz w:val="28"/>
          <w:szCs w:val="28"/>
          <w:lang w:val="el-GR"/>
        </w:rPr>
        <w:t>DMC».</w:t>
      </w:r>
      <w:r w:rsidR="007A25C1">
        <w:rPr>
          <w:rFonts w:ascii="Bookman Old Style" w:hAnsi="Bookman Old Style" w:cs="Arial"/>
          <w:sz w:val="28"/>
          <w:szCs w:val="28"/>
          <w:lang w:val="el-GR"/>
        </w:rPr>
        <w:t xml:space="preserve"> </w:t>
      </w:r>
      <w:bookmarkEnd w:id="0"/>
      <w:r>
        <w:rPr>
          <w:rFonts w:ascii="Bookman Old Style" w:hAnsi="Bookman Old Style" w:cs="Arial"/>
          <w:sz w:val="28"/>
          <w:szCs w:val="28"/>
          <w:lang w:val="el-GR"/>
        </w:rPr>
        <w:t xml:space="preserve">Το υπόλοιπο 50% των μετοχών στην εν λόγω Εταιρεία το κατείχε ο </w:t>
      </w:r>
      <w:r w:rsidR="00FC5304">
        <w:rPr>
          <w:rFonts w:ascii="Bookman Old Style" w:hAnsi="Bookman Old Style" w:cs="Arial"/>
          <w:sz w:val="28"/>
          <w:szCs w:val="28"/>
          <w:lang w:val="el-GR"/>
        </w:rPr>
        <w:t>Φίλιππος Αυξεντίου.</w:t>
      </w:r>
    </w:p>
    <w:p w14:paraId="15FE8416" w14:textId="77777777" w:rsidR="00FC5304" w:rsidRDefault="00FC5304" w:rsidP="00963265">
      <w:pPr>
        <w:spacing w:line="480" w:lineRule="auto"/>
        <w:ind w:right="-35"/>
        <w:jc w:val="both"/>
        <w:rPr>
          <w:rFonts w:ascii="Bookman Old Style" w:hAnsi="Bookman Old Style" w:cs="Arial"/>
          <w:sz w:val="28"/>
          <w:szCs w:val="28"/>
          <w:lang w:val="el-GR"/>
        </w:rPr>
      </w:pPr>
    </w:p>
    <w:p w14:paraId="7C56631E" w14:textId="19AA8A3A" w:rsidR="00FC5304" w:rsidRDefault="00FC5304"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Στις 30/3/2007 δυνάμει γραπτής Συμφωνίας</w:t>
      </w:r>
      <w:r w:rsidR="00775A8F">
        <w:rPr>
          <w:rFonts w:ascii="Bookman Old Style" w:hAnsi="Bookman Old Style" w:cs="Arial"/>
          <w:sz w:val="28"/>
          <w:szCs w:val="28"/>
          <w:lang w:val="el-GR"/>
        </w:rPr>
        <w:t xml:space="preserve"> Πώλησης Επιχείρ</w:t>
      </w:r>
      <w:r w:rsidR="0031743C">
        <w:rPr>
          <w:rFonts w:ascii="Bookman Old Style" w:hAnsi="Bookman Old Style" w:cs="Arial"/>
          <w:sz w:val="28"/>
          <w:szCs w:val="28"/>
          <w:lang w:val="el-GR"/>
        </w:rPr>
        <w:t>η</w:t>
      </w:r>
      <w:r w:rsidR="00775A8F">
        <w:rPr>
          <w:rFonts w:ascii="Bookman Old Style" w:hAnsi="Bookman Old Style" w:cs="Arial"/>
          <w:sz w:val="28"/>
          <w:szCs w:val="28"/>
          <w:lang w:val="el-GR"/>
        </w:rPr>
        <w:t>σης</w:t>
      </w:r>
      <w:r>
        <w:rPr>
          <w:rFonts w:ascii="Bookman Old Style" w:hAnsi="Bookman Old Style" w:cs="Arial"/>
          <w:sz w:val="28"/>
          <w:szCs w:val="28"/>
          <w:lang w:val="el-GR"/>
        </w:rPr>
        <w:t xml:space="preserve"> (</w:t>
      </w:r>
      <w:r w:rsidRPr="007A25C1">
        <w:rPr>
          <w:rFonts w:ascii="Bookman Old Style" w:hAnsi="Bookman Old Style" w:cs="Arial"/>
          <w:b/>
          <w:bCs/>
          <w:sz w:val="28"/>
          <w:szCs w:val="28"/>
          <w:lang w:val="el-GR"/>
        </w:rPr>
        <w:t>Τεκμήριο 7</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μαζί με τον Εφεσίβλητο </w:t>
      </w:r>
      <w:r w:rsidR="009F7C5D">
        <w:rPr>
          <w:rFonts w:ascii="Bookman Old Style" w:hAnsi="Bookman Old Style" w:cs="Arial"/>
          <w:sz w:val="28"/>
          <w:szCs w:val="28"/>
          <w:lang w:val="el-GR"/>
        </w:rPr>
        <w:t>2</w:t>
      </w:r>
      <w:r>
        <w:rPr>
          <w:rFonts w:ascii="Bookman Old Style" w:hAnsi="Bookman Old Style" w:cs="Arial"/>
          <w:sz w:val="28"/>
          <w:szCs w:val="28"/>
          <w:lang w:val="el-GR"/>
        </w:rPr>
        <w:t xml:space="preserve"> συμφώνησαν να αγοράσουν τις μετοχές που ο Φίλιππος Αυξεντίου είχε στην πιο πάνω Εταιρεία</w:t>
      </w:r>
      <w:r w:rsidR="00B74938">
        <w:rPr>
          <w:rFonts w:ascii="Bookman Old Style" w:hAnsi="Bookman Old Style" w:cs="Arial"/>
          <w:sz w:val="28"/>
          <w:szCs w:val="28"/>
          <w:lang w:val="el-GR"/>
        </w:rPr>
        <w:t>, ήτοι 25% των μετοχών</w:t>
      </w:r>
      <w:r w:rsidR="009F7C5D">
        <w:rPr>
          <w:rFonts w:ascii="Bookman Old Style" w:hAnsi="Bookman Old Style" w:cs="Arial"/>
          <w:sz w:val="28"/>
          <w:szCs w:val="28"/>
          <w:lang w:val="el-GR"/>
        </w:rPr>
        <w:t xml:space="preserve"> να αγορασθεί από </w:t>
      </w:r>
      <w:r w:rsidR="00B74938">
        <w:rPr>
          <w:rFonts w:ascii="Bookman Old Style" w:hAnsi="Bookman Old Style" w:cs="Arial"/>
          <w:sz w:val="28"/>
          <w:szCs w:val="28"/>
          <w:lang w:val="el-GR"/>
        </w:rPr>
        <w:t xml:space="preserve">τον </w:t>
      </w:r>
      <w:proofErr w:type="spellStart"/>
      <w:r w:rsidR="00B74938">
        <w:rPr>
          <w:rFonts w:ascii="Bookman Old Style" w:hAnsi="Bookman Old Style" w:cs="Arial"/>
          <w:sz w:val="28"/>
          <w:szCs w:val="28"/>
          <w:lang w:val="el-GR"/>
        </w:rPr>
        <w:t>Εφεσείοντα</w:t>
      </w:r>
      <w:proofErr w:type="spellEnd"/>
      <w:r w:rsidR="00B74938">
        <w:rPr>
          <w:rFonts w:ascii="Bookman Old Style" w:hAnsi="Bookman Old Style" w:cs="Arial"/>
          <w:sz w:val="28"/>
          <w:szCs w:val="28"/>
          <w:lang w:val="el-GR"/>
        </w:rPr>
        <w:t xml:space="preserve"> και 25% των μετοχών </w:t>
      </w:r>
      <w:r w:rsidR="009F7C5D">
        <w:rPr>
          <w:rFonts w:ascii="Bookman Old Style" w:hAnsi="Bookman Old Style" w:cs="Arial"/>
          <w:sz w:val="28"/>
          <w:szCs w:val="28"/>
          <w:lang w:val="el-GR"/>
        </w:rPr>
        <w:t xml:space="preserve">να αγορασθεί από τον </w:t>
      </w:r>
      <w:r w:rsidR="00B74938">
        <w:rPr>
          <w:rFonts w:ascii="Bookman Old Style" w:hAnsi="Bookman Old Style" w:cs="Arial"/>
          <w:sz w:val="28"/>
          <w:szCs w:val="28"/>
          <w:lang w:val="el-GR"/>
        </w:rPr>
        <w:t>Εφεσίβλητο 2,</w:t>
      </w:r>
      <w:r>
        <w:rPr>
          <w:rFonts w:ascii="Bookman Old Style" w:hAnsi="Bookman Old Style" w:cs="Arial"/>
          <w:sz w:val="28"/>
          <w:szCs w:val="28"/>
          <w:lang w:val="el-GR"/>
        </w:rPr>
        <w:t xml:space="preserve"> έναντι του τιμήματος του Λ.Κ. 45.000, το οποίο θα καταβαλλόταν δια του ποσού των Λ.Κ. 10.000 άμα τη υπογραφή της Συμφωνίας, του ποσού των Λ.Κ. 25.000 με τη μεταβίβαση των μετοχών της Εταιρείας στο όνομα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του Εφεσίβλητου 2 και του υπολοίπου ποσού των Λ.Κ. 10.000 εντός έξι μηνών από την υπογραφή της Συμφωνίας.</w:t>
      </w:r>
    </w:p>
    <w:p w14:paraId="24C64D90" w14:textId="77777777" w:rsidR="00B74938" w:rsidRDefault="00B74938" w:rsidP="00963265">
      <w:pPr>
        <w:spacing w:line="480" w:lineRule="auto"/>
        <w:ind w:right="-35"/>
        <w:jc w:val="both"/>
        <w:rPr>
          <w:rFonts w:ascii="Bookman Old Style" w:hAnsi="Bookman Old Style" w:cs="Arial"/>
          <w:sz w:val="28"/>
          <w:szCs w:val="28"/>
          <w:lang w:val="el-GR"/>
        </w:rPr>
      </w:pPr>
    </w:p>
    <w:p w14:paraId="4A99CA2E" w14:textId="2D56B8A7" w:rsidR="00B74938" w:rsidRDefault="00B7493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Μετά από τη σύναψη της πιο πάνω Συμφωνίας και τη μεταβίβαση των μετοχών επ’ </w:t>
      </w:r>
      <w:proofErr w:type="spellStart"/>
      <w:r>
        <w:rPr>
          <w:rFonts w:ascii="Bookman Old Style" w:hAnsi="Bookman Old Style" w:cs="Arial"/>
          <w:sz w:val="28"/>
          <w:szCs w:val="28"/>
          <w:lang w:val="el-GR"/>
        </w:rPr>
        <w:t>ονόματι</w:t>
      </w:r>
      <w:proofErr w:type="spellEnd"/>
      <w:r>
        <w:rPr>
          <w:rFonts w:ascii="Bookman Old Style" w:hAnsi="Bookman Old Style" w:cs="Arial"/>
          <w:sz w:val="28"/>
          <w:szCs w:val="28"/>
          <w:lang w:val="el-GR"/>
        </w:rPr>
        <w:t xml:space="preserve">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του Εφεσίβλητου 2,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και ο Εφεσίβλητος 2 διορίστηκαν </w:t>
      </w:r>
      <w:r w:rsidR="009F7C5D">
        <w:rPr>
          <w:rFonts w:ascii="Bookman Old Style" w:hAnsi="Bookman Old Style" w:cs="Arial"/>
          <w:sz w:val="28"/>
          <w:szCs w:val="28"/>
          <w:lang w:val="el-GR"/>
        </w:rPr>
        <w:t xml:space="preserve">Διευθύνοντες Σύμβουλοι </w:t>
      </w:r>
      <w:r>
        <w:rPr>
          <w:rFonts w:ascii="Bookman Old Style" w:hAnsi="Bookman Old Style" w:cs="Arial"/>
          <w:sz w:val="28"/>
          <w:szCs w:val="28"/>
          <w:lang w:val="el-GR"/>
        </w:rPr>
        <w:t>στην Εταιρεία και εργάζονταν σε αυτή ως Διευθυντές με αμοιβή.</w:t>
      </w:r>
    </w:p>
    <w:p w14:paraId="37074479" w14:textId="77777777" w:rsidR="00B74938" w:rsidRDefault="00B74938" w:rsidP="00963265">
      <w:pPr>
        <w:spacing w:line="480" w:lineRule="auto"/>
        <w:ind w:right="-35"/>
        <w:jc w:val="both"/>
        <w:rPr>
          <w:rFonts w:ascii="Bookman Old Style" w:hAnsi="Bookman Old Style" w:cs="Arial"/>
          <w:sz w:val="28"/>
          <w:szCs w:val="28"/>
          <w:lang w:val="el-GR"/>
        </w:rPr>
      </w:pPr>
    </w:p>
    <w:p w14:paraId="5E23A4EF" w14:textId="1EDBEAD4" w:rsidR="00B74938" w:rsidRDefault="00B74938" w:rsidP="00963265">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Προχωρούμε στη συνέχεια στις εκδοχές των διαδίκων, όπως προέκυψαν από τα δικόγραφα.</w:t>
      </w:r>
    </w:p>
    <w:p w14:paraId="438C2287" w14:textId="77777777" w:rsidR="00B74938" w:rsidRDefault="00B74938" w:rsidP="00963265">
      <w:pPr>
        <w:spacing w:line="480" w:lineRule="auto"/>
        <w:ind w:right="-35"/>
        <w:jc w:val="both"/>
        <w:rPr>
          <w:rFonts w:ascii="Bookman Old Style" w:hAnsi="Bookman Old Style" w:cs="Arial"/>
          <w:sz w:val="28"/>
          <w:szCs w:val="28"/>
          <w:lang w:val="el-GR"/>
        </w:rPr>
      </w:pPr>
    </w:p>
    <w:p w14:paraId="3B34A6CF" w14:textId="1907E4AB" w:rsidR="00B74938" w:rsidRDefault="00B74938"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Διατείνεται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ότι κατά τον ίδιο χρόνο που είχε καταρτιστεί η πιο πάνω γραπτή Συμφωνία</w:t>
      </w:r>
      <w:r w:rsidR="00313331">
        <w:rPr>
          <w:rFonts w:ascii="Bookman Old Style" w:hAnsi="Bookman Old Style" w:cs="Arial"/>
          <w:sz w:val="28"/>
          <w:szCs w:val="28"/>
          <w:lang w:val="el-GR"/>
        </w:rPr>
        <w:t>,</w:t>
      </w:r>
      <w:r>
        <w:rPr>
          <w:rFonts w:ascii="Bookman Old Style" w:hAnsi="Bookman Old Style" w:cs="Arial"/>
          <w:sz w:val="28"/>
          <w:szCs w:val="28"/>
          <w:lang w:val="el-GR"/>
        </w:rPr>
        <w:t xml:space="preserve"> </w:t>
      </w:r>
      <w:r w:rsidR="00D06ED7">
        <w:rPr>
          <w:rFonts w:ascii="Bookman Old Style" w:hAnsi="Bookman Old Style" w:cs="Arial"/>
          <w:sz w:val="28"/>
          <w:szCs w:val="28"/>
          <w:lang w:val="el-GR"/>
        </w:rPr>
        <w:t>ο ίδιος,</w:t>
      </w:r>
      <w:r>
        <w:rPr>
          <w:rFonts w:ascii="Bookman Old Style" w:hAnsi="Bookman Old Style" w:cs="Arial"/>
          <w:sz w:val="28"/>
          <w:szCs w:val="28"/>
          <w:lang w:val="el-GR"/>
        </w:rPr>
        <w:t xml:space="preserve"> μαζί με τους Εφεσίβλητους 1 και 2, δυνάμει προφορικής συμφωνίας μετόχων, είχαν συμφωνήσει να διαχειρίζονται τα θέματα της Εταιρείας με εύλογη επιμέλεια και ότι η διαχείριση και ο τρόπος λειτουργίας της Εταιρείας θα ήταν υπό τον αποκλειστικό έλεγχο και ευθύνη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w:t>
      </w:r>
      <w:r w:rsidR="00D06ED7">
        <w:rPr>
          <w:rFonts w:ascii="Bookman Old Style" w:hAnsi="Bookman Old Style" w:cs="Arial"/>
          <w:sz w:val="28"/>
          <w:szCs w:val="28"/>
          <w:lang w:val="el-GR"/>
        </w:rPr>
        <w:t xml:space="preserve">του </w:t>
      </w:r>
      <w:r>
        <w:rPr>
          <w:rFonts w:ascii="Bookman Old Style" w:hAnsi="Bookman Old Style" w:cs="Arial"/>
          <w:sz w:val="28"/>
          <w:szCs w:val="28"/>
          <w:lang w:val="el-GR"/>
        </w:rPr>
        <w:t>Εφεσίβλητου 2, οι οποίοι θα αμείβονταν για τις υπηρεσίες τους.</w:t>
      </w:r>
    </w:p>
    <w:p w14:paraId="6868E6F6" w14:textId="77777777" w:rsidR="00B74938" w:rsidRDefault="00B74938" w:rsidP="00B74938">
      <w:pPr>
        <w:spacing w:line="480" w:lineRule="auto"/>
        <w:ind w:right="-35"/>
        <w:jc w:val="both"/>
        <w:rPr>
          <w:rFonts w:ascii="Bookman Old Style" w:hAnsi="Bookman Old Style" w:cs="Arial"/>
          <w:sz w:val="28"/>
          <w:szCs w:val="28"/>
          <w:lang w:val="el-GR"/>
        </w:rPr>
      </w:pPr>
    </w:p>
    <w:p w14:paraId="6661526E" w14:textId="71FDA027" w:rsidR="00B74938" w:rsidRDefault="00B74938"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Σύμφωνα πάντοτε με την εκδοχή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κατά τον Ιούνιο του 2009 οι Εφεσίβλητοι 1 και 2, κατά παράβαση των συμφωνηθέντων και με παράνομο τρόπο είχαν συνωμοτήσει για την καταδολίευση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δόλια και αντισυμβατικά είχαν αποκλείσει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από το να συμμετέχει στη διαχείριση και τη λειτουργία της Εταιρείας.</w:t>
      </w:r>
    </w:p>
    <w:p w14:paraId="5BADCD30" w14:textId="77777777" w:rsidR="00B74938" w:rsidRDefault="00B74938" w:rsidP="00B74938">
      <w:pPr>
        <w:spacing w:line="480" w:lineRule="auto"/>
        <w:ind w:right="-35"/>
        <w:jc w:val="both"/>
        <w:rPr>
          <w:rFonts w:ascii="Bookman Old Style" w:hAnsi="Bookman Old Style" w:cs="Arial"/>
          <w:sz w:val="28"/>
          <w:szCs w:val="28"/>
          <w:lang w:val="el-GR"/>
        </w:rPr>
      </w:pPr>
    </w:p>
    <w:p w14:paraId="2A12867E" w14:textId="527BE7B6" w:rsidR="00B74938" w:rsidRDefault="00B74938"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Ως αποτέλεσμα των πιο πάνω ήτο και η αξίωση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για ειδικές ζημιές που υπέστη και, ειδικότερα, το ποσό των Λ.Κ. 22.500, το οποίο είχε καταβάλει για την αγορά των μετοχών της Εταιρείας, το ποσό των                     Λ.Κ. 5.000, το οποίο είχε καταβάλει για την ανακαίνιση του υποστατικού, </w:t>
      </w:r>
      <w:r>
        <w:rPr>
          <w:rFonts w:ascii="Bookman Old Style" w:hAnsi="Bookman Old Style" w:cs="Arial"/>
          <w:sz w:val="28"/>
          <w:szCs w:val="28"/>
          <w:lang w:val="el-GR"/>
        </w:rPr>
        <w:lastRenderedPageBreak/>
        <w:t>την απώλεια του ποσού των Λ.Κ. 1.000 μηνιαίως που λάμβανε ως μισθό από τον Ιούλιο του 2009 και την απώλεια του μεριδίου που αναλογούσε στα κέρδη της Εταιρείας από τον Ιούλιο 2009 μέχρι το Μάρτη του 2010.</w:t>
      </w:r>
    </w:p>
    <w:p w14:paraId="50BB81A0" w14:textId="77777777" w:rsidR="00342C10" w:rsidRDefault="00342C10" w:rsidP="00B74938">
      <w:pPr>
        <w:spacing w:line="480" w:lineRule="auto"/>
        <w:ind w:right="-35"/>
        <w:jc w:val="both"/>
        <w:rPr>
          <w:rFonts w:ascii="Bookman Old Style" w:hAnsi="Bookman Old Style" w:cs="Arial"/>
          <w:sz w:val="28"/>
          <w:szCs w:val="28"/>
          <w:lang w:val="el-GR"/>
        </w:rPr>
      </w:pPr>
    </w:p>
    <w:p w14:paraId="02AF7EFF" w14:textId="302477BD" w:rsidR="00342C10" w:rsidRDefault="00342C10"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Αποτέλεσε παραδεκτό γεγονός ότι σε συνεδρίαση του Διοικητικού Συμβουλίου της Εταιρείας, </w:t>
      </w:r>
      <w:proofErr w:type="spellStart"/>
      <w:r>
        <w:rPr>
          <w:rFonts w:ascii="Bookman Old Style" w:hAnsi="Bookman Old Style" w:cs="Arial"/>
          <w:sz w:val="28"/>
          <w:szCs w:val="28"/>
          <w:lang w:val="el-GR"/>
        </w:rPr>
        <w:t>ημερ</w:t>
      </w:r>
      <w:proofErr w:type="spellEnd"/>
      <w:r>
        <w:rPr>
          <w:rFonts w:ascii="Bookman Old Style" w:hAnsi="Bookman Old Style" w:cs="Arial"/>
          <w:sz w:val="28"/>
          <w:szCs w:val="28"/>
          <w:lang w:val="el-GR"/>
        </w:rPr>
        <w:t xml:space="preserve">. 29/6/2009, </w:t>
      </w:r>
      <w:proofErr w:type="spellStart"/>
      <w:r>
        <w:rPr>
          <w:rFonts w:ascii="Bookman Old Style" w:hAnsi="Bookman Old Style" w:cs="Arial"/>
          <w:sz w:val="28"/>
          <w:szCs w:val="28"/>
          <w:lang w:val="el-GR"/>
        </w:rPr>
        <w:t>απεφασίσθη</w:t>
      </w:r>
      <w:proofErr w:type="spellEnd"/>
      <w:r>
        <w:rPr>
          <w:rFonts w:ascii="Bookman Old Style" w:hAnsi="Bookman Old Style" w:cs="Arial"/>
          <w:sz w:val="28"/>
          <w:szCs w:val="28"/>
          <w:lang w:val="el-GR"/>
        </w:rPr>
        <w:t xml:space="preserve"> ο τερματισμός της απασχόλησης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w:t>
      </w:r>
    </w:p>
    <w:p w14:paraId="1747691B" w14:textId="77777777" w:rsidR="00342C10" w:rsidRDefault="00342C10" w:rsidP="00B74938">
      <w:pPr>
        <w:spacing w:line="480" w:lineRule="auto"/>
        <w:ind w:right="-35"/>
        <w:jc w:val="both"/>
        <w:rPr>
          <w:rFonts w:ascii="Bookman Old Style" w:hAnsi="Bookman Old Style" w:cs="Arial"/>
          <w:sz w:val="28"/>
          <w:szCs w:val="28"/>
          <w:lang w:val="el-GR"/>
        </w:rPr>
      </w:pPr>
    </w:p>
    <w:p w14:paraId="44AA5B59" w14:textId="5FF5DE59" w:rsidR="00342C10" w:rsidRDefault="00342C10"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Η εκδοχή </w:t>
      </w:r>
      <w:r w:rsidR="00BA4AB2">
        <w:rPr>
          <w:rFonts w:ascii="Bookman Old Style" w:hAnsi="Bookman Old Style" w:cs="Arial"/>
          <w:sz w:val="28"/>
          <w:szCs w:val="28"/>
          <w:lang w:val="el-GR"/>
        </w:rPr>
        <w:t xml:space="preserve">των </w:t>
      </w:r>
      <w:proofErr w:type="spellStart"/>
      <w:r w:rsidR="00BA4AB2">
        <w:rPr>
          <w:rFonts w:ascii="Bookman Old Style" w:hAnsi="Bookman Old Style" w:cs="Arial"/>
          <w:sz w:val="28"/>
          <w:szCs w:val="28"/>
          <w:lang w:val="el-GR"/>
        </w:rPr>
        <w:t>Εφεσιβλήτων</w:t>
      </w:r>
      <w:proofErr w:type="spellEnd"/>
      <w:r w:rsidR="00BA4AB2">
        <w:rPr>
          <w:rFonts w:ascii="Bookman Old Style" w:hAnsi="Bookman Old Style" w:cs="Arial"/>
          <w:sz w:val="28"/>
          <w:szCs w:val="28"/>
          <w:lang w:val="el-GR"/>
        </w:rPr>
        <w:t xml:space="preserve"> 1 και 2 ήταν ότι ουδέποτε υπήρξε η προφορική συμφωνία μετόχων που ο </w:t>
      </w:r>
      <w:proofErr w:type="spellStart"/>
      <w:r w:rsidR="00BA4AB2">
        <w:rPr>
          <w:rFonts w:ascii="Bookman Old Style" w:hAnsi="Bookman Old Style" w:cs="Arial"/>
          <w:sz w:val="28"/>
          <w:szCs w:val="28"/>
          <w:lang w:val="el-GR"/>
        </w:rPr>
        <w:t>Εφεσείων</w:t>
      </w:r>
      <w:proofErr w:type="spellEnd"/>
      <w:r w:rsidR="00BA4AB2">
        <w:rPr>
          <w:rFonts w:ascii="Bookman Old Style" w:hAnsi="Bookman Old Style" w:cs="Arial"/>
          <w:sz w:val="28"/>
          <w:szCs w:val="28"/>
          <w:lang w:val="el-GR"/>
        </w:rPr>
        <w:t xml:space="preserve"> επικαλείτο και ότι</w:t>
      </w:r>
      <w:r w:rsidR="007A25C1">
        <w:rPr>
          <w:rFonts w:ascii="Bookman Old Style" w:hAnsi="Bookman Old Style" w:cs="Arial"/>
          <w:sz w:val="28"/>
          <w:szCs w:val="28"/>
          <w:lang w:val="el-GR"/>
        </w:rPr>
        <w:t>,</w:t>
      </w:r>
      <w:r w:rsidR="00BA4AB2">
        <w:rPr>
          <w:rFonts w:ascii="Bookman Old Style" w:hAnsi="Bookman Old Style" w:cs="Arial"/>
          <w:sz w:val="28"/>
          <w:szCs w:val="28"/>
          <w:lang w:val="el-GR"/>
        </w:rPr>
        <w:t xml:space="preserve"> ενώ είχε συμφωνηθεί όπως ο </w:t>
      </w:r>
      <w:proofErr w:type="spellStart"/>
      <w:r w:rsidR="00BA4AB2">
        <w:rPr>
          <w:rFonts w:ascii="Bookman Old Style" w:hAnsi="Bookman Old Style" w:cs="Arial"/>
          <w:sz w:val="28"/>
          <w:szCs w:val="28"/>
          <w:lang w:val="el-GR"/>
        </w:rPr>
        <w:t>Εφεσείων</w:t>
      </w:r>
      <w:proofErr w:type="spellEnd"/>
      <w:r w:rsidR="00BA4AB2">
        <w:rPr>
          <w:rFonts w:ascii="Bookman Old Style" w:hAnsi="Bookman Old Style" w:cs="Arial"/>
          <w:sz w:val="28"/>
          <w:szCs w:val="28"/>
          <w:lang w:val="el-GR"/>
        </w:rPr>
        <w:t xml:space="preserve"> </w:t>
      </w:r>
      <w:r w:rsidR="00A33CAE">
        <w:rPr>
          <w:rFonts w:ascii="Bookman Old Style" w:hAnsi="Bookman Old Style" w:cs="Arial"/>
          <w:sz w:val="28"/>
          <w:szCs w:val="28"/>
          <w:lang w:val="el-GR"/>
        </w:rPr>
        <w:t xml:space="preserve">και ο Εφεσίβλητος 2 θα </w:t>
      </w:r>
      <w:proofErr w:type="spellStart"/>
      <w:r w:rsidR="00A33CAE">
        <w:rPr>
          <w:rFonts w:ascii="Bookman Old Style" w:hAnsi="Bookman Old Style" w:cs="Arial"/>
          <w:sz w:val="28"/>
          <w:szCs w:val="28"/>
          <w:lang w:val="el-GR"/>
        </w:rPr>
        <w:t>εργάζοντο</w:t>
      </w:r>
      <w:proofErr w:type="spellEnd"/>
      <w:r w:rsidR="00A33CAE">
        <w:rPr>
          <w:rFonts w:ascii="Bookman Old Style" w:hAnsi="Bookman Old Style" w:cs="Arial"/>
          <w:sz w:val="28"/>
          <w:szCs w:val="28"/>
          <w:lang w:val="el-GR"/>
        </w:rPr>
        <w:t xml:space="preserve"> στην Εταιρεία ως Διευθυντές με αμοιβή, σε καμία περίπτωση δεν θα είχαν τον αποκλειστικό έλεγχο της επιχείρησης. Προβάλλεται</w:t>
      </w:r>
      <w:r w:rsidR="007A25C1">
        <w:rPr>
          <w:rFonts w:ascii="Bookman Old Style" w:hAnsi="Bookman Old Style" w:cs="Arial"/>
          <w:sz w:val="28"/>
          <w:szCs w:val="28"/>
          <w:lang w:val="el-GR"/>
        </w:rPr>
        <w:t>,</w:t>
      </w:r>
      <w:r w:rsidR="00A33CAE">
        <w:rPr>
          <w:rFonts w:ascii="Bookman Old Style" w:hAnsi="Bookman Old Style" w:cs="Arial"/>
          <w:sz w:val="28"/>
          <w:szCs w:val="28"/>
          <w:lang w:val="el-GR"/>
        </w:rPr>
        <w:t xml:space="preserve"> </w:t>
      </w:r>
      <w:r w:rsidR="007A25C1">
        <w:rPr>
          <w:rFonts w:ascii="Bookman Old Style" w:hAnsi="Bookman Old Style" w:cs="Arial"/>
          <w:sz w:val="28"/>
          <w:szCs w:val="28"/>
          <w:lang w:val="el-GR"/>
        </w:rPr>
        <w:t>επίσης,</w:t>
      </w:r>
      <w:r w:rsidR="00A33CAE">
        <w:rPr>
          <w:rFonts w:ascii="Bookman Old Style" w:hAnsi="Bookman Old Style" w:cs="Arial"/>
          <w:sz w:val="28"/>
          <w:szCs w:val="28"/>
          <w:lang w:val="el-GR"/>
        </w:rPr>
        <w:t xml:space="preserve"> ότι κατά την περίοδο που ο </w:t>
      </w:r>
      <w:proofErr w:type="spellStart"/>
      <w:r w:rsidR="00A33CAE">
        <w:rPr>
          <w:rFonts w:ascii="Bookman Old Style" w:hAnsi="Bookman Old Style" w:cs="Arial"/>
          <w:sz w:val="28"/>
          <w:szCs w:val="28"/>
          <w:lang w:val="el-GR"/>
        </w:rPr>
        <w:t>Εφεσείων</w:t>
      </w:r>
      <w:proofErr w:type="spellEnd"/>
      <w:r w:rsidR="00A33CAE">
        <w:rPr>
          <w:rFonts w:ascii="Bookman Old Style" w:hAnsi="Bookman Old Style" w:cs="Arial"/>
          <w:sz w:val="28"/>
          <w:szCs w:val="28"/>
          <w:lang w:val="el-GR"/>
        </w:rPr>
        <w:t xml:space="preserve"> </w:t>
      </w:r>
      <w:proofErr w:type="spellStart"/>
      <w:r w:rsidR="00A33CAE">
        <w:rPr>
          <w:rFonts w:ascii="Bookman Old Style" w:hAnsi="Bookman Old Style" w:cs="Arial"/>
          <w:sz w:val="28"/>
          <w:szCs w:val="28"/>
          <w:lang w:val="el-GR"/>
        </w:rPr>
        <w:t>εργοδοτείτο</w:t>
      </w:r>
      <w:proofErr w:type="spellEnd"/>
      <w:r w:rsidR="00A33CAE">
        <w:rPr>
          <w:rFonts w:ascii="Bookman Old Style" w:hAnsi="Bookman Old Style" w:cs="Arial"/>
          <w:sz w:val="28"/>
          <w:szCs w:val="28"/>
          <w:lang w:val="el-GR"/>
        </w:rPr>
        <w:t xml:space="preserve"> στην Εταιρεία είχε ασκήσει τα καθήκοντα του πλημμελώς, με αποτέλεσμα να προκαλέσει ζημιά και απώλεια στην Εταιρεία.</w:t>
      </w:r>
    </w:p>
    <w:p w14:paraId="6FD2AFDA" w14:textId="77777777" w:rsidR="00A33CAE" w:rsidRDefault="00A33CAE" w:rsidP="00B74938">
      <w:pPr>
        <w:spacing w:line="480" w:lineRule="auto"/>
        <w:ind w:right="-35"/>
        <w:jc w:val="both"/>
        <w:rPr>
          <w:rFonts w:ascii="Bookman Old Style" w:hAnsi="Bookman Old Style" w:cs="Arial"/>
          <w:sz w:val="28"/>
          <w:szCs w:val="28"/>
          <w:lang w:val="el-GR"/>
        </w:rPr>
      </w:pPr>
    </w:p>
    <w:p w14:paraId="261BF5C6" w14:textId="778B196C" w:rsidR="00A33CAE" w:rsidRDefault="00D06ED7"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w:t>
      </w:r>
      <w:r w:rsidR="00A33CAE">
        <w:rPr>
          <w:rFonts w:ascii="Bookman Old Style" w:hAnsi="Bookman Old Style" w:cs="Arial"/>
          <w:sz w:val="28"/>
          <w:szCs w:val="28"/>
          <w:lang w:val="el-GR"/>
        </w:rPr>
        <w:t>εραιτέρω</w:t>
      </w:r>
      <w:r w:rsidR="009F7C5D">
        <w:rPr>
          <w:rFonts w:ascii="Bookman Old Style" w:hAnsi="Bookman Old Style" w:cs="Arial"/>
          <w:sz w:val="28"/>
          <w:szCs w:val="28"/>
          <w:lang w:val="el-GR"/>
        </w:rPr>
        <w:t>,</w:t>
      </w:r>
      <w:r w:rsidR="00A33CAE">
        <w:rPr>
          <w:rFonts w:ascii="Bookman Old Style" w:hAnsi="Bookman Old Style" w:cs="Arial"/>
          <w:sz w:val="28"/>
          <w:szCs w:val="28"/>
          <w:lang w:val="el-GR"/>
        </w:rPr>
        <w:t xml:space="preserve"> </w:t>
      </w:r>
      <w:r>
        <w:rPr>
          <w:rFonts w:ascii="Bookman Old Style" w:hAnsi="Bookman Old Style" w:cs="Arial"/>
          <w:sz w:val="28"/>
          <w:szCs w:val="28"/>
          <w:lang w:val="el-GR"/>
        </w:rPr>
        <w:t xml:space="preserve">αποτέλεσε </w:t>
      </w:r>
      <w:r w:rsidR="00A33CAE">
        <w:rPr>
          <w:rFonts w:ascii="Bookman Old Style" w:hAnsi="Bookman Old Style" w:cs="Arial"/>
          <w:sz w:val="28"/>
          <w:szCs w:val="28"/>
          <w:lang w:val="el-GR"/>
        </w:rPr>
        <w:t xml:space="preserve">θέση των </w:t>
      </w:r>
      <w:proofErr w:type="spellStart"/>
      <w:r w:rsidR="00A33CAE">
        <w:rPr>
          <w:rFonts w:ascii="Bookman Old Style" w:hAnsi="Bookman Old Style" w:cs="Arial"/>
          <w:sz w:val="28"/>
          <w:szCs w:val="28"/>
          <w:lang w:val="el-GR"/>
        </w:rPr>
        <w:t>Εφεσιβλήτων</w:t>
      </w:r>
      <w:proofErr w:type="spellEnd"/>
      <w:r w:rsidR="00A33CAE">
        <w:rPr>
          <w:rFonts w:ascii="Bookman Old Style" w:hAnsi="Bookman Old Style" w:cs="Arial"/>
          <w:sz w:val="28"/>
          <w:szCs w:val="28"/>
          <w:lang w:val="el-GR"/>
        </w:rPr>
        <w:t xml:space="preserve"> 1 και 2 ότι ο </w:t>
      </w:r>
      <w:proofErr w:type="spellStart"/>
      <w:r w:rsidR="00A33CAE">
        <w:rPr>
          <w:rFonts w:ascii="Bookman Old Style" w:hAnsi="Bookman Old Style" w:cs="Arial"/>
          <w:sz w:val="28"/>
          <w:szCs w:val="28"/>
          <w:lang w:val="el-GR"/>
        </w:rPr>
        <w:t>Εφεσείων</w:t>
      </w:r>
      <w:proofErr w:type="spellEnd"/>
      <w:r w:rsidR="00A33CAE">
        <w:rPr>
          <w:rFonts w:ascii="Bookman Old Style" w:hAnsi="Bookman Old Style" w:cs="Arial"/>
          <w:sz w:val="28"/>
          <w:szCs w:val="28"/>
          <w:lang w:val="el-GR"/>
        </w:rPr>
        <w:t xml:space="preserve"> απολύθηκε από υπάλληλος της Εταιρείας και</w:t>
      </w:r>
      <w:r>
        <w:rPr>
          <w:rFonts w:ascii="Bookman Old Style" w:hAnsi="Bookman Old Style" w:cs="Arial"/>
          <w:sz w:val="28"/>
          <w:szCs w:val="28"/>
          <w:lang w:val="el-GR"/>
        </w:rPr>
        <w:t xml:space="preserve"> ότι</w:t>
      </w:r>
      <w:r w:rsidR="00A33CAE">
        <w:rPr>
          <w:rFonts w:ascii="Bookman Old Style" w:hAnsi="Bookman Old Style" w:cs="Arial"/>
          <w:sz w:val="28"/>
          <w:szCs w:val="28"/>
          <w:lang w:val="el-GR"/>
        </w:rPr>
        <w:t xml:space="preserve"> ουδέποτε είχε </w:t>
      </w:r>
      <w:proofErr w:type="spellStart"/>
      <w:r w:rsidR="00A33CAE">
        <w:rPr>
          <w:rFonts w:ascii="Bookman Old Style" w:hAnsi="Bookman Old Style" w:cs="Arial"/>
          <w:sz w:val="28"/>
          <w:szCs w:val="28"/>
          <w:lang w:val="el-GR"/>
        </w:rPr>
        <w:t>παυθεί</w:t>
      </w:r>
      <w:proofErr w:type="spellEnd"/>
      <w:r w:rsidR="00A33CAE">
        <w:rPr>
          <w:rFonts w:ascii="Bookman Old Style" w:hAnsi="Bookman Old Style" w:cs="Arial"/>
          <w:sz w:val="28"/>
          <w:szCs w:val="28"/>
          <w:lang w:val="el-GR"/>
        </w:rPr>
        <w:t xml:space="preserve"> από </w:t>
      </w:r>
      <w:r w:rsidR="009F7C5D">
        <w:rPr>
          <w:rFonts w:ascii="Bookman Old Style" w:hAnsi="Bookman Old Style" w:cs="Arial"/>
          <w:sz w:val="28"/>
          <w:szCs w:val="28"/>
          <w:lang w:val="el-GR"/>
        </w:rPr>
        <w:t>Διευθύνων Σύμβουλος</w:t>
      </w:r>
      <w:r>
        <w:rPr>
          <w:rFonts w:ascii="Bookman Old Style" w:hAnsi="Bookman Old Style" w:cs="Arial"/>
          <w:sz w:val="28"/>
          <w:szCs w:val="28"/>
          <w:lang w:val="el-GR"/>
        </w:rPr>
        <w:t xml:space="preserve"> της. Ως εκ τούτου</w:t>
      </w:r>
      <w:r w:rsidR="009F7C5D">
        <w:rPr>
          <w:rFonts w:ascii="Bookman Old Style" w:hAnsi="Bookman Old Style" w:cs="Arial"/>
          <w:sz w:val="28"/>
          <w:szCs w:val="28"/>
          <w:lang w:val="el-GR"/>
        </w:rPr>
        <w:t>, υπό αυτή την ιδιότητα</w:t>
      </w:r>
      <w:r w:rsidR="00313331">
        <w:rPr>
          <w:rFonts w:ascii="Bookman Old Style" w:hAnsi="Bookman Old Style" w:cs="Arial"/>
          <w:sz w:val="28"/>
          <w:szCs w:val="28"/>
          <w:lang w:val="el-GR"/>
        </w:rPr>
        <w:t>,</w:t>
      </w:r>
      <w:r>
        <w:rPr>
          <w:rFonts w:ascii="Bookman Old Style" w:hAnsi="Bookman Old Style" w:cs="Arial"/>
          <w:sz w:val="28"/>
          <w:szCs w:val="28"/>
          <w:lang w:val="el-GR"/>
        </w:rPr>
        <w:t xml:space="preserve"> </w:t>
      </w:r>
      <w:r w:rsidR="009F7C5D">
        <w:rPr>
          <w:rFonts w:ascii="Bookman Old Style" w:hAnsi="Bookman Old Style" w:cs="Arial"/>
          <w:sz w:val="28"/>
          <w:szCs w:val="28"/>
          <w:lang w:val="el-GR"/>
        </w:rPr>
        <w:t>είχε</w:t>
      </w:r>
      <w:r w:rsidR="009F7C5D" w:rsidRPr="009F7C5D">
        <w:rPr>
          <w:rFonts w:ascii="Bookman Old Style" w:hAnsi="Bookman Old Style" w:cs="Arial"/>
          <w:sz w:val="28"/>
          <w:szCs w:val="28"/>
          <w:lang w:val="el-GR"/>
        </w:rPr>
        <w:t xml:space="preserve"> </w:t>
      </w:r>
      <w:r w:rsidR="009F7C5D">
        <w:rPr>
          <w:rFonts w:ascii="Bookman Old Style" w:hAnsi="Bookman Old Style" w:cs="Arial"/>
          <w:sz w:val="28"/>
          <w:szCs w:val="28"/>
          <w:lang w:val="el-GR"/>
        </w:rPr>
        <w:t>πάντοτε το δικαίωμα</w:t>
      </w:r>
      <w:r w:rsidR="00A33CAE">
        <w:rPr>
          <w:rFonts w:ascii="Bookman Old Style" w:hAnsi="Bookman Old Style" w:cs="Arial"/>
          <w:sz w:val="28"/>
          <w:szCs w:val="28"/>
          <w:lang w:val="el-GR"/>
        </w:rPr>
        <w:t xml:space="preserve"> να λαμβάνει μέρος στη διαχείριση της Εταιρείας.</w:t>
      </w:r>
    </w:p>
    <w:p w14:paraId="534278B5" w14:textId="224BAF49" w:rsidR="00A33CAE" w:rsidRDefault="00A33CA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Ενώπιον του πρωτόδικου Δικαστηρίου κατέθεσαν τρεις μάρτυρες από πλευράς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Συγκεκριμένα κατέθεσε ο </w:t>
      </w:r>
      <w:r w:rsidR="00D06ED7">
        <w:rPr>
          <w:rFonts w:ascii="Bookman Old Style" w:hAnsi="Bookman Old Style" w:cs="Arial"/>
          <w:sz w:val="28"/>
          <w:szCs w:val="28"/>
          <w:lang w:val="el-GR"/>
        </w:rPr>
        <w:t>ίδιος,</w:t>
      </w:r>
      <w:r w:rsidR="009F7C5D">
        <w:rPr>
          <w:rFonts w:ascii="Bookman Old Style" w:hAnsi="Bookman Old Style" w:cs="Arial"/>
          <w:sz w:val="28"/>
          <w:szCs w:val="28"/>
          <w:lang w:val="el-GR"/>
        </w:rPr>
        <w:t xml:space="preserve"> ως Μ.Ε.1</w:t>
      </w:r>
      <w:r w:rsidR="00D06ED7">
        <w:rPr>
          <w:rFonts w:ascii="Bookman Old Style" w:hAnsi="Bookman Old Style" w:cs="Arial"/>
          <w:sz w:val="28"/>
          <w:szCs w:val="28"/>
          <w:lang w:val="el-GR"/>
        </w:rPr>
        <w:t xml:space="preserve">, καλώντας επίσης </w:t>
      </w:r>
      <w:r>
        <w:rPr>
          <w:rFonts w:ascii="Bookman Old Style" w:hAnsi="Bookman Old Style" w:cs="Arial"/>
          <w:sz w:val="28"/>
          <w:szCs w:val="28"/>
          <w:lang w:val="el-GR"/>
        </w:rPr>
        <w:t>δύο άλλους μάρτυρες, τον αδελφό του, Μ.Ε.2 και Λειτουργό του Φ.Π.Α.,</w:t>
      </w:r>
      <w:r w:rsidR="009F7C5D">
        <w:rPr>
          <w:rFonts w:ascii="Bookman Old Style" w:hAnsi="Bookman Old Style" w:cs="Arial"/>
          <w:sz w:val="28"/>
          <w:szCs w:val="28"/>
          <w:lang w:val="el-GR"/>
        </w:rPr>
        <w:t xml:space="preserve"> τη</w:t>
      </w:r>
      <w:r>
        <w:rPr>
          <w:rFonts w:ascii="Bookman Old Style" w:hAnsi="Bookman Old Style" w:cs="Arial"/>
          <w:sz w:val="28"/>
          <w:szCs w:val="28"/>
          <w:lang w:val="el-GR"/>
        </w:rPr>
        <w:t xml:space="preserve"> Μ.Ε.3. Κατέθεσε</w:t>
      </w:r>
      <w:r w:rsidR="009F7C5D">
        <w:rPr>
          <w:rFonts w:ascii="Bookman Old Style" w:hAnsi="Bookman Old Style" w:cs="Arial"/>
          <w:sz w:val="28"/>
          <w:szCs w:val="28"/>
          <w:lang w:val="el-GR"/>
        </w:rPr>
        <w:t>,</w:t>
      </w:r>
      <w:r>
        <w:rPr>
          <w:rFonts w:ascii="Bookman Old Style" w:hAnsi="Bookman Old Style" w:cs="Arial"/>
          <w:sz w:val="28"/>
          <w:szCs w:val="28"/>
          <w:lang w:val="el-GR"/>
        </w:rPr>
        <w:t xml:space="preserve"> </w:t>
      </w:r>
      <w:r w:rsidR="009F7C5D">
        <w:rPr>
          <w:rFonts w:ascii="Bookman Old Style" w:hAnsi="Bookman Old Style" w:cs="Arial"/>
          <w:sz w:val="28"/>
          <w:szCs w:val="28"/>
          <w:lang w:val="el-GR"/>
        </w:rPr>
        <w:t>επίσης,</w:t>
      </w:r>
      <w:r>
        <w:rPr>
          <w:rFonts w:ascii="Bookman Old Style" w:hAnsi="Bookman Old Style" w:cs="Arial"/>
          <w:sz w:val="28"/>
          <w:szCs w:val="28"/>
          <w:lang w:val="el-GR"/>
        </w:rPr>
        <w:t xml:space="preserve"> ως Μ.Ε.4 στη διαδικασία συγκεκριμένο άτομο για το οποίο ζητήθηκε από την πλευρά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1 και 2 η κλήτευση του, για σκοπούς </w:t>
      </w:r>
      <w:proofErr w:type="spellStart"/>
      <w:r>
        <w:rPr>
          <w:rFonts w:ascii="Bookman Old Style" w:hAnsi="Bookman Old Style" w:cs="Arial"/>
          <w:sz w:val="28"/>
          <w:szCs w:val="28"/>
          <w:lang w:val="el-GR"/>
        </w:rPr>
        <w:t>αντεξέτασης</w:t>
      </w:r>
      <w:proofErr w:type="spellEnd"/>
      <w:r>
        <w:rPr>
          <w:rFonts w:ascii="Bookman Old Style" w:hAnsi="Bookman Old Style" w:cs="Arial"/>
          <w:sz w:val="28"/>
          <w:szCs w:val="28"/>
          <w:lang w:val="el-GR"/>
        </w:rPr>
        <w:t>, λόγω του ότι είχε δοθεί εξ ακοής μαρτυρία.</w:t>
      </w:r>
    </w:p>
    <w:p w14:paraId="4442A78E" w14:textId="77777777" w:rsidR="00A33CAE" w:rsidRDefault="00A33CAE" w:rsidP="00B74938">
      <w:pPr>
        <w:spacing w:line="480" w:lineRule="auto"/>
        <w:ind w:right="-35"/>
        <w:jc w:val="both"/>
        <w:rPr>
          <w:rFonts w:ascii="Bookman Old Style" w:hAnsi="Bookman Old Style" w:cs="Arial"/>
          <w:sz w:val="28"/>
          <w:szCs w:val="28"/>
          <w:lang w:val="el-GR"/>
        </w:rPr>
      </w:pPr>
    </w:p>
    <w:p w14:paraId="6F7C1295" w14:textId="7783A4BB" w:rsidR="00A33CAE" w:rsidRDefault="00A33CA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Από πλευράς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1 και 2 δεν προσφέρθηκε οποιαδήποτε μαρτυρία. </w:t>
      </w:r>
    </w:p>
    <w:p w14:paraId="6E2E11D9" w14:textId="77777777" w:rsidR="00A33CAE" w:rsidRDefault="00A33CAE" w:rsidP="00B74938">
      <w:pPr>
        <w:spacing w:line="480" w:lineRule="auto"/>
        <w:ind w:right="-35"/>
        <w:jc w:val="both"/>
        <w:rPr>
          <w:rFonts w:ascii="Bookman Old Style" w:hAnsi="Bookman Old Style" w:cs="Arial"/>
          <w:sz w:val="28"/>
          <w:szCs w:val="28"/>
          <w:lang w:val="el-GR"/>
        </w:rPr>
      </w:pPr>
    </w:p>
    <w:p w14:paraId="6CAC9C04" w14:textId="35617C2A" w:rsidR="00A33CAE" w:rsidRDefault="00A33CA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w:t>
      </w:r>
      <w:r w:rsidR="009F7C5D">
        <w:rPr>
          <w:rFonts w:ascii="Bookman Old Style" w:hAnsi="Bookman Old Style" w:cs="Arial"/>
          <w:sz w:val="28"/>
          <w:szCs w:val="28"/>
          <w:lang w:val="el-GR"/>
        </w:rPr>
        <w:t>,</w:t>
      </w:r>
      <w:r>
        <w:rPr>
          <w:rFonts w:ascii="Bookman Old Style" w:hAnsi="Bookman Old Style" w:cs="Arial"/>
          <w:sz w:val="28"/>
          <w:szCs w:val="28"/>
          <w:lang w:val="el-GR"/>
        </w:rPr>
        <w:t xml:space="preserve"> αξιολογώντας την προσαχθείσα μαρτυρία</w:t>
      </w:r>
      <w:r w:rsidR="009F7C5D">
        <w:rPr>
          <w:rFonts w:ascii="Bookman Old Style" w:hAnsi="Bookman Old Style" w:cs="Arial"/>
          <w:sz w:val="28"/>
          <w:szCs w:val="28"/>
          <w:lang w:val="el-GR"/>
        </w:rPr>
        <w:t>,</w:t>
      </w:r>
      <w:r>
        <w:rPr>
          <w:rFonts w:ascii="Bookman Old Style" w:hAnsi="Bookman Old Style" w:cs="Arial"/>
          <w:sz w:val="28"/>
          <w:szCs w:val="28"/>
          <w:lang w:val="el-GR"/>
        </w:rPr>
        <w:t xml:space="preserve"> </w:t>
      </w:r>
      <w:r w:rsidR="007A25C1">
        <w:rPr>
          <w:rFonts w:ascii="Bookman Old Style" w:hAnsi="Bookman Old Style" w:cs="Arial"/>
          <w:sz w:val="28"/>
          <w:szCs w:val="28"/>
          <w:lang w:val="el-GR"/>
        </w:rPr>
        <w:t xml:space="preserve">επί των αμφισβητουμένων σημείων </w:t>
      </w:r>
      <w:r>
        <w:rPr>
          <w:rFonts w:ascii="Bookman Old Style" w:hAnsi="Bookman Old Style" w:cs="Arial"/>
          <w:sz w:val="28"/>
          <w:szCs w:val="28"/>
          <w:lang w:val="el-GR"/>
        </w:rPr>
        <w:t xml:space="preserve">απέρριψε τα όσα κατέθεσε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και οι μάρτυρες του και, κατ’ επέκταση, την εκδοχή του.</w:t>
      </w:r>
      <w:r w:rsidR="008A558E">
        <w:rPr>
          <w:rFonts w:ascii="Bookman Old Style" w:hAnsi="Bookman Old Style" w:cs="Arial"/>
          <w:sz w:val="28"/>
          <w:szCs w:val="28"/>
          <w:lang w:val="el-GR"/>
        </w:rPr>
        <w:t xml:space="preserve"> Προβαίνοντας</w:t>
      </w:r>
      <w:r w:rsidR="009F7C5D">
        <w:rPr>
          <w:rFonts w:ascii="Bookman Old Style" w:hAnsi="Bookman Old Style" w:cs="Arial"/>
          <w:sz w:val="28"/>
          <w:szCs w:val="28"/>
          <w:lang w:val="el-GR"/>
        </w:rPr>
        <w:t>,</w:t>
      </w:r>
      <w:r w:rsidR="008A558E">
        <w:rPr>
          <w:rFonts w:ascii="Bookman Old Style" w:hAnsi="Bookman Old Style" w:cs="Arial"/>
          <w:sz w:val="28"/>
          <w:szCs w:val="28"/>
          <w:lang w:val="el-GR"/>
        </w:rPr>
        <w:t xml:space="preserve"> δε</w:t>
      </w:r>
      <w:r w:rsidR="009F7C5D">
        <w:rPr>
          <w:rFonts w:ascii="Bookman Old Style" w:hAnsi="Bookman Old Style" w:cs="Arial"/>
          <w:sz w:val="28"/>
          <w:szCs w:val="28"/>
          <w:lang w:val="el-GR"/>
        </w:rPr>
        <w:t>,</w:t>
      </w:r>
      <w:r w:rsidR="008A558E">
        <w:rPr>
          <w:rFonts w:ascii="Bookman Old Style" w:hAnsi="Bookman Old Style" w:cs="Arial"/>
          <w:sz w:val="28"/>
          <w:szCs w:val="28"/>
          <w:lang w:val="el-GR"/>
        </w:rPr>
        <w:t xml:space="preserve"> στα ευρήματα του</w:t>
      </w:r>
      <w:r w:rsidR="009F7C5D">
        <w:rPr>
          <w:rFonts w:ascii="Bookman Old Style" w:hAnsi="Bookman Old Style" w:cs="Arial"/>
          <w:sz w:val="28"/>
          <w:szCs w:val="28"/>
          <w:lang w:val="el-GR"/>
        </w:rPr>
        <w:t>,</w:t>
      </w:r>
      <w:r w:rsidR="008A558E">
        <w:rPr>
          <w:rFonts w:ascii="Bookman Old Style" w:hAnsi="Bookman Old Style" w:cs="Arial"/>
          <w:sz w:val="28"/>
          <w:szCs w:val="28"/>
          <w:lang w:val="el-GR"/>
        </w:rPr>
        <w:t xml:space="preserve"> το πρωτόδικο Δικαστήριο ανέφερε τα ακόλουθα:</w:t>
      </w:r>
    </w:p>
    <w:p w14:paraId="035E7982" w14:textId="77777777" w:rsidR="007805A4" w:rsidRDefault="007805A4" w:rsidP="00B74938">
      <w:pPr>
        <w:spacing w:line="480" w:lineRule="auto"/>
        <w:ind w:right="-35"/>
        <w:jc w:val="both"/>
        <w:rPr>
          <w:rFonts w:ascii="Bookman Old Style" w:hAnsi="Bookman Old Style" w:cs="Arial"/>
          <w:sz w:val="28"/>
          <w:szCs w:val="28"/>
          <w:lang w:val="el-GR"/>
        </w:rPr>
      </w:pPr>
    </w:p>
    <w:p w14:paraId="694DF521" w14:textId="20B7510D" w:rsidR="007805A4" w:rsidRPr="000C1B94" w:rsidRDefault="007805A4" w:rsidP="007A25C1">
      <w:pPr>
        <w:tabs>
          <w:tab w:val="left" w:pos="6804"/>
        </w:tabs>
        <w:spacing w:line="276" w:lineRule="auto"/>
        <w:ind w:left="426" w:right="390"/>
        <w:jc w:val="both"/>
        <w:rPr>
          <w:rFonts w:ascii="Bookman Old Style" w:hAnsi="Bookman Old Style" w:cs="Arial"/>
          <w:sz w:val="28"/>
          <w:szCs w:val="28"/>
          <w:lang w:val="el-GR"/>
        </w:rPr>
      </w:pPr>
      <w:r w:rsidRPr="000C1B94">
        <w:rPr>
          <w:rFonts w:ascii="Bookman Old Style" w:hAnsi="Bookman Old Style" w:cs="Arial"/>
          <w:sz w:val="28"/>
          <w:szCs w:val="28"/>
          <w:lang w:val="el-GR"/>
        </w:rPr>
        <w:t>«</w:t>
      </w:r>
      <w:r w:rsidR="0093275B" w:rsidRPr="000C1B94">
        <w:rPr>
          <w:rFonts w:ascii="Bookman Old Style" w:hAnsi="Bookman Old Style" w:cs="Arial"/>
          <w:sz w:val="28"/>
          <w:szCs w:val="28"/>
          <w:lang w:val="el-GR"/>
        </w:rPr>
        <w:t xml:space="preserve">Ο Ενάγοντας, έχοντας εμπειρία σε επιχειρήσεις μπυραρίας – καφέ λόγω του ότι παλαιότερα διατηρούσε μια τέτοιου είδους επιχείρηση στην παραλία των </w:t>
      </w:r>
      <w:proofErr w:type="spellStart"/>
      <w:r w:rsidR="0093275B" w:rsidRPr="000C1B94">
        <w:rPr>
          <w:rFonts w:ascii="Bookman Old Style" w:hAnsi="Bookman Old Style" w:cs="Arial"/>
          <w:sz w:val="28"/>
          <w:szCs w:val="28"/>
          <w:lang w:val="el-GR"/>
        </w:rPr>
        <w:t>Φοινικούδων</w:t>
      </w:r>
      <w:proofErr w:type="spellEnd"/>
      <w:r w:rsidR="0093275B" w:rsidRPr="000C1B94">
        <w:rPr>
          <w:rFonts w:ascii="Bookman Old Style" w:hAnsi="Bookman Old Style" w:cs="Arial"/>
          <w:sz w:val="28"/>
          <w:szCs w:val="28"/>
          <w:lang w:val="el-GR"/>
        </w:rPr>
        <w:t>, μαζί με τον Εναγόμενο 2 είχαν αποφασίσει να αγοράσουν τις μετοχές του Φίλιππου Αυξεντίου, ήτοι 50% των μετοχών, στην εταιρεία «</w:t>
      </w:r>
      <w:r w:rsidR="0093275B" w:rsidRPr="000C1B94">
        <w:rPr>
          <w:rFonts w:ascii="Bookman Old Style" w:hAnsi="Bookman Old Style" w:cs="Arial"/>
          <w:sz w:val="28"/>
          <w:szCs w:val="28"/>
          <w:lang w:val="en-US"/>
        </w:rPr>
        <w:t>A</w:t>
      </w:r>
      <w:r w:rsidR="0093275B" w:rsidRPr="000C1B94">
        <w:rPr>
          <w:rFonts w:ascii="Bookman Old Style" w:hAnsi="Bookman Old Style" w:cs="Arial"/>
          <w:sz w:val="28"/>
          <w:szCs w:val="28"/>
          <w:lang w:val="el-GR"/>
        </w:rPr>
        <w:t xml:space="preserve">.K.P.CH. ENTERTAINMENT LTD» η οποία διαχειριζόταν, λειτουργούσε και εκμεταλλευόταν μια επιχείρηση καφέ – μπαρ. Το υπόλοιπο 50% των μετοχών στην συγκεκριμένη Εταιρεία ανήκε στον Εναγόμενο 1. Ως αντάλλαγμα για την αγορά των μετοχών, ήτοι του 25%, θα κατέβαλλε, ο Ενάγοντας </w:t>
      </w:r>
      <w:r w:rsidR="0093275B" w:rsidRPr="000C1B94">
        <w:rPr>
          <w:rFonts w:ascii="Bookman Old Style" w:hAnsi="Bookman Old Style" w:cs="Arial"/>
          <w:sz w:val="28"/>
          <w:szCs w:val="28"/>
          <w:lang w:val="el-GR"/>
        </w:rPr>
        <w:lastRenderedPageBreak/>
        <w:t xml:space="preserve">το ποσό των Λ.Κ.22,500-. Μετά από την σύναψη γραπτής συμφωνίας </w:t>
      </w:r>
      <w:r w:rsidR="0093275B" w:rsidRPr="000C1B94">
        <w:rPr>
          <w:rFonts w:ascii="Bookman Old Style" w:hAnsi="Bookman Old Style" w:cs="Arial"/>
          <w:b/>
          <w:bCs/>
          <w:sz w:val="28"/>
          <w:szCs w:val="28"/>
          <w:lang w:val="el-GR"/>
        </w:rPr>
        <w:t>Τεκμήριο 7</w:t>
      </w:r>
      <w:r w:rsidR="0093275B" w:rsidRPr="000C1B94">
        <w:rPr>
          <w:rFonts w:ascii="Bookman Old Style" w:hAnsi="Bookman Old Style" w:cs="Arial"/>
          <w:sz w:val="28"/>
          <w:szCs w:val="28"/>
          <w:lang w:val="el-GR"/>
        </w:rPr>
        <w:t xml:space="preserve"> και την μεταβίβαση των μετοχών επ’ </w:t>
      </w:r>
      <w:proofErr w:type="spellStart"/>
      <w:r w:rsidR="0093275B" w:rsidRPr="000C1B94">
        <w:rPr>
          <w:rFonts w:ascii="Bookman Old Style" w:hAnsi="Bookman Old Style" w:cs="Arial"/>
          <w:sz w:val="28"/>
          <w:szCs w:val="28"/>
          <w:lang w:val="el-GR"/>
        </w:rPr>
        <w:t>ονόματι</w:t>
      </w:r>
      <w:proofErr w:type="spellEnd"/>
      <w:r w:rsidR="0093275B" w:rsidRPr="000C1B94">
        <w:rPr>
          <w:rFonts w:ascii="Bookman Old Style" w:hAnsi="Bookman Old Style" w:cs="Arial"/>
          <w:sz w:val="28"/>
          <w:szCs w:val="28"/>
          <w:lang w:val="el-GR"/>
        </w:rPr>
        <w:t xml:space="preserve"> του και του Εναγόμενου 2, στις 02/04/2007, ο Ενάγοντας διορίστηκε, μαζί με τον Εναγόμενο 2, διευθυντής της Εταιρείας </w:t>
      </w:r>
      <w:r w:rsidR="0093275B" w:rsidRPr="000C1B94">
        <w:rPr>
          <w:rFonts w:ascii="Bookman Old Style" w:hAnsi="Bookman Old Style" w:cs="Arial"/>
          <w:sz w:val="28"/>
          <w:szCs w:val="28"/>
          <w:lang w:val="en-US"/>
        </w:rPr>
        <w:t>A</w:t>
      </w:r>
      <w:r w:rsidR="0093275B" w:rsidRPr="000C1B94">
        <w:rPr>
          <w:rFonts w:ascii="Bookman Old Style" w:hAnsi="Bookman Old Style" w:cs="Arial"/>
          <w:sz w:val="28"/>
          <w:szCs w:val="28"/>
          <w:lang w:val="el-GR"/>
        </w:rPr>
        <w:t xml:space="preserve">.K.P.CH. ENTERTAINMENT LTD, </w:t>
      </w:r>
      <w:r w:rsidR="0093275B" w:rsidRPr="000C1B94">
        <w:rPr>
          <w:rFonts w:ascii="Bookman Old Style" w:hAnsi="Bookman Old Style" w:cs="Arial"/>
          <w:b/>
          <w:bCs/>
          <w:sz w:val="28"/>
          <w:szCs w:val="28"/>
          <w:lang w:val="el-GR"/>
        </w:rPr>
        <w:t>Τεκμήρια 5 και 6</w:t>
      </w:r>
      <w:r w:rsidR="0093275B" w:rsidRPr="000C1B94">
        <w:rPr>
          <w:rFonts w:ascii="Bookman Old Style" w:hAnsi="Bookman Old Style" w:cs="Arial"/>
          <w:sz w:val="28"/>
          <w:szCs w:val="28"/>
          <w:lang w:val="el-GR"/>
        </w:rPr>
        <w:t xml:space="preserve"> και ξεκίνησαν μαζί όλοι μαζί την λειτουργία του κλαμπ με την ονομασία «</w:t>
      </w:r>
      <w:r w:rsidR="0093275B" w:rsidRPr="000C1B94">
        <w:rPr>
          <w:rFonts w:ascii="Bookman Old Style" w:hAnsi="Bookman Old Style" w:cs="Arial"/>
          <w:sz w:val="28"/>
          <w:szCs w:val="28"/>
          <w:lang w:val="en-US"/>
        </w:rPr>
        <w:t>DMC</w:t>
      </w:r>
      <w:r w:rsidR="0093275B" w:rsidRPr="000C1B94">
        <w:rPr>
          <w:rFonts w:ascii="Bookman Old Style" w:hAnsi="Bookman Old Style" w:cs="Arial"/>
          <w:sz w:val="28"/>
          <w:szCs w:val="28"/>
          <w:lang w:val="el-GR"/>
        </w:rPr>
        <w:t xml:space="preserve"> </w:t>
      </w:r>
      <w:proofErr w:type="spellStart"/>
      <w:r w:rsidR="0093275B" w:rsidRPr="000C1B94">
        <w:rPr>
          <w:rFonts w:ascii="Bookman Old Style" w:hAnsi="Bookman Old Style" w:cs="Arial"/>
          <w:sz w:val="28"/>
          <w:szCs w:val="28"/>
          <w:lang w:val="el-GR"/>
        </w:rPr>
        <w:t>Club</w:t>
      </w:r>
      <w:proofErr w:type="spellEnd"/>
      <w:r w:rsidR="0093275B" w:rsidRPr="000C1B94">
        <w:rPr>
          <w:rFonts w:ascii="Bookman Old Style" w:hAnsi="Bookman Old Style" w:cs="Arial"/>
          <w:sz w:val="28"/>
          <w:szCs w:val="28"/>
          <w:lang w:val="el-GR"/>
        </w:rPr>
        <w:t xml:space="preserve">» σε υποστατικό το οποίο ενοικίαζε ο Εναγόμενος 1 από την Επιτροπεία Ορφανοτροφείου </w:t>
      </w:r>
      <w:proofErr w:type="spellStart"/>
      <w:r w:rsidR="0093275B" w:rsidRPr="000C1B94">
        <w:rPr>
          <w:rFonts w:ascii="Bookman Old Style" w:hAnsi="Bookman Old Style" w:cs="Arial"/>
          <w:sz w:val="28"/>
          <w:szCs w:val="28"/>
          <w:lang w:val="el-GR"/>
        </w:rPr>
        <w:t>Διανέλλου</w:t>
      </w:r>
      <w:proofErr w:type="spellEnd"/>
      <w:r w:rsidR="0093275B" w:rsidRPr="000C1B94">
        <w:rPr>
          <w:rFonts w:ascii="Bookman Old Style" w:hAnsi="Bookman Old Style" w:cs="Arial"/>
          <w:sz w:val="28"/>
          <w:szCs w:val="28"/>
          <w:lang w:val="el-GR"/>
        </w:rPr>
        <w:t xml:space="preserve">. Η επιχείρηση </w:t>
      </w:r>
      <w:proofErr w:type="spellStart"/>
      <w:r w:rsidR="0093275B" w:rsidRPr="000C1B94">
        <w:rPr>
          <w:rFonts w:ascii="Bookman Old Style" w:hAnsi="Bookman Old Style" w:cs="Arial"/>
          <w:sz w:val="28"/>
          <w:szCs w:val="28"/>
          <w:lang w:val="el-GR"/>
        </w:rPr>
        <w:t>διευθύνετο</w:t>
      </w:r>
      <w:proofErr w:type="spellEnd"/>
      <w:r w:rsidR="0093275B" w:rsidRPr="000C1B94">
        <w:rPr>
          <w:rFonts w:ascii="Bookman Old Style" w:hAnsi="Bookman Old Style" w:cs="Arial"/>
          <w:sz w:val="28"/>
          <w:szCs w:val="28"/>
          <w:lang w:val="el-GR"/>
        </w:rPr>
        <w:t xml:space="preserve"> από τον Ενάγοντα και τον Εναγόμενο 2, οι οποίοι πληρώνονταν μισθό από την Εταιρεία για τις υπηρεσίες τους. Για την ανάπτυξη της συγκεκριμένης επιχείρησης η Εταιρεία είχε συνάψει δάνεια με τις προσωπικές εγγυήσεις των μετόχων της, όλων ανεξαιρέτως, </w:t>
      </w:r>
      <w:r w:rsidR="0093275B" w:rsidRPr="000C1B94">
        <w:rPr>
          <w:rFonts w:ascii="Bookman Old Style" w:hAnsi="Bookman Old Style" w:cs="Arial"/>
          <w:b/>
          <w:bCs/>
          <w:sz w:val="28"/>
          <w:szCs w:val="28"/>
          <w:lang w:val="el-GR"/>
        </w:rPr>
        <w:t>Τεκμήριο 18</w:t>
      </w:r>
      <w:r w:rsidR="0093275B" w:rsidRPr="000C1B94">
        <w:rPr>
          <w:rFonts w:ascii="Bookman Old Style" w:hAnsi="Bookman Old Style" w:cs="Arial"/>
          <w:sz w:val="28"/>
          <w:szCs w:val="28"/>
          <w:lang w:val="el-GR"/>
        </w:rPr>
        <w:t xml:space="preserve">. Τόσο ο Ενάγοντας καθώς και οι Εναγόμενοι 1 και 2 είχαν αποφασίσει να ανακαινίσουν το υποστατικό στο οποίο θα στεγαζόταν η επιχείρησή τους και για το σκοπό αυτό συνεισέφερε ο Ενάγοντας Λ.Κ.5.000- και ο Εναγόμενος 1 Λ.Κ.7.000-. Τον πρώτο χρόνο της λειτουργίας της επιχείρησης οι μέτοχοι είχαν λάβει μερίσματα από τα κέρδη. Τον επόμενο όμως χρόνο λόγω του ότι είχαν επενδυθεί τα κέρδη στην επιχείρηση δεν είχε λάβει οποιοσδήποτε από αυτούς μέρισμα. Τον Ιούνιο 2009 προφανώς οι άλλοι δύο μέτοχοι δεν ενέκριναν κάποιες ενέργειες του Ενάγοντα, ως διευθυντή της επιχείρησης, και συγκάλεσαν ως πλειοψηφία των μετόχων, συνεδρία του διοικητικού συμβουλίου. Στην συγκεκριμένη συνεδρία είχε αποφασιστεί ο τερματισμός των υπηρεσιών του Ενάγοντα στην επιχείρηση για τους λόγους που φαίνονται στην επιστολή που του είχε σταλεί, </w:t>
      </w:r>
      <w:r w:rsidR="0093275B" w:rsidRPr="000C1B94">
        <w:rPr>
          <w:rFonts w:ascii="Bookman Old Style" w:hAnsi="Bookman Old Style" w:cs="Arial"/>
          <w:b/>
          <w:bCs/>
          <w:sz w:val="28"/>
          <w:szCs w:val="28"/>
          <w:lang w:val="el-GR"/>
        </w:rPr>
        <w:t>Τεκμήριο 11</w:t>
      </w:r>
      <w:r w:rsidR="0093275B" w:rsidRPr="000C1B94">
        <w:rPr>
          <w:rFonts w:ascii="Bookman Old Style" w:hAnsi="Bookman Old Style" w:cs="Arial"/>
          <w:sz w:val="28"/>
          <w:szCs w:val="28"/>
          <w:lang w:val="el-GR"/>
        </w:rPr>
        <w:t xml:space="preserve">. Προκύπτει ότι δεν </w:t>
      </w:r>
      <w:r w:rsidR="00A35476" w:rsidRPr="000C1B94">
        <w:rPr>
          <w:rFonts w:ascii="Bookman Old Style" w:hAnsi="Bookman Old Style" w:cs="Arial"/>
          <w:sz w:val="28"/>
          <w:szCs w:val="28"/>
          <w:lang w:val="el-GR"/>
        </w:rPr>
        <w:t>υπήρχε μεταξύ των μετόχων καλή συνεννόηση με αποτέλεσμα να οδηγηθούν σε οικονομική δυσχέρεια καθώς και αδιέξοδα σε σχέση με τις οφειλές του, γεγονότα τα οποία οδήγησαν την πλειοψηφία των μετόχων να τερματίζει τις υπηρεσίες του Ενάγοντα. Παρέμεινε όμως ο Ενάγοντας μέτοχος κατά 25% στη συγκεκριμένη Εταιρεία, η οποία τελικά τέθηκε υπό εκκαθάριση στις 05/03/2010.»</w:t>
      </w:r>
    </w:p>
    <w:p w14:paraId="15E82D9C" w14:textId="77777777" w:rsidR="00A35476" w:rsidRDefault="00A35476" w:rsidP="007A25C1">
      <w:pPr>
        <w:tabs>
          <w:tab w:val="left" w:pos="6804"/>
        </w:tabs>
        <w:spacing w:line="276" w:lineRule="auto"/>
        <w:ind w:left="426" w:right="390"/>
        <w:jc w:val="both"/>
        <w:rPr>
          <w:rFonts w:ascii="Bookman Old Style" w:hAnsi="Bookman Old Style" w:cs="Arial"/>
          <w:sz w:val="26"/>
          <w:szCs w:val="26"/>
          <w:lang w:val="el-GR"/>
        </w:rPr>
      </w:pPr>
    </w:p>
    <w:p w14:paraId="111B990E" w14:textId="77777777" w:rsidR="00A35476" w:rsidRDefault="00A35476" w:rsidP="007805A4">
      <w:pPr>
        <w:spacing w:line="276" w:lineRule="auto"/>
        <w:ind w:left="426" w:right="390"/>
        <w:jc w:val="both"/>
        <w:rPr>
          <w:rFonts w:ascii="Bookman Old Style" w:hAnsi="Bookman Old Style" w:cs="Arial"/>
          <w:sz w:val="26"/>
          <w:szCs w:val="26"/>
          <w:lang w:val="el-GR"/>
        </w:rPr>
      </w:pPr>
    </w:p>
    <w:p w14:paraId="343478F5" w14:textId="2ED7B51D" w:rsidR="00DF6405" w:rsidRDefault="008A558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Επανερχόμαστε στους Λόγους Έφεσης. Προβάλλονται </w:t>
      </w:r>
      <w:r w:rsidRPr="008A558E">
        <w:rPr>
          <w:rFonts w:ascii="Bookman Old Style" w:hAnsi="Bookman Old Style" w:cs="Arial"/>
          <w:b/>
          <w:bCs/>
          <w:sz w:val="28"/>
          <w:szCs w:val="28"/>
          <w:lang w:val="el-GR"/>
        </w:rPr>
        <w:t xml:space="preserve">επτά </w:t>
      </w:r>
      <w:r>
        <w:rPr>
          <w:rFonts w:ascii="Bookman Old Style" w:hAnsi="Bookman Old Style" w:cs="Arial"/>
          <w:b/>
          <w:bCs/>
          <w:sz w:val="28"/>
          <w:szCs w:val="28"/>
          <w:lang w:val="el-GR"/>
        </w:rPr>
        <w:t>Λόγοι Έφεσης</w:t>
      </w:r>
      <w:r>
        <w:rPr>
          <w:rFonts w:ascii="Bookman Old Style" w:hAnsi="Bookman Old Style" w:cs="Arial"/>
          <w:sz w:val="28"/>
          <w:szCs w:val="28"/>
          <w:lang w:val="el-GR"/>
        </w:rPr>
        <w:t>.</w:t>
      </w:r>
    </w:p>
    <w:p w14:paraId="7B11F79F" w14:textId="675D4592" w:rsidR="008A558E" w:rsidRDefault="008A558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 xml:space="preserve">Μέσω του </w:t>
      </w:r>
      <w:r>
        <w:rPr>
          <w:rFonts w:ascii="Bookman Old Style" w:hAnsi="Bookman Old Style" w:cs="Arial"/>
          <w:b/>
          <w:bCs/>
          <w:sz w:val="28"/>
          <w:szCs w:val="28"/>
          <w:lang w:val="el-GR"/>
        </w:rPr>
        <w:t>1</w:t>
      </w:r>
      <w:r w:rsidRPr="008A558E">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η πρωτόδικη Απόφαση είναι λανθασμένη και μη επαρκώς αιτιολογημένη, καθότι το πρωτόδικο Δικαστήριο δεν προέβη σε ουσιαστική ανάλυση και επαρκή δικαστική κρίση επί όλων των επιδίκων θεμάτων και γενικότερα εξέτασε την όλη υπόθεση του Ενάγοντα σε λανθασμένη πραγματική και νομική βάση. Μέσω του </w:t>
      </w:r>
      <w:r>
        <w:rPr>
          <w:rFonts w:ascii="Bookman Old Style" w:hAnsi="Bookman Old Style" w:cs="Arial"/>
          <w:b/>
          <w:bCs/>
          <w:sz w:val="28"/>
          <w:szCs w:val="28"/>
          <w:lang w:val="el-GR"/>
        </w:rPr>
        <w:t>2</w:t>
      </w:r>
      <w:r w:rsidRPr="008A558E">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ισχυρίζεται ότι το πρωτόδικο Δικαστήριο λανθασμένα </w:t>
      </w:r>
      <w:proofErr w:type="spellStart"/>
      <w:r>
        <w:rPr>
          <w:rFonts w:ascii="Bookman Old Style" w:hAnsi="Bookman Old Style" w:cs="Arial"/>
          <w:sz w:val="28"/>
          <w:szCs w:val="28"/>
          <w:lang w:val="el-GR"/>
        </w:rPr>
        <w:t>απεφάνθη</w:t>
      </w:r>
      <w:proofErr w:type="spellEnd"/>
      <w:r>
        <w:rPr>
          <w:rFonts w:ascii="Bookman Old Style" w:hAnsi="Bookman Old Style" w:cs="Arial"/>
          <w:sz w:val="28"/>
          <w:szCs w:val="28"/>
          <w:lang w:val="el-GR"/>
        </w:rPr>
        <w:t xml:space="preserve"> ότι δεν απεδείχθη η δόλια συμπεριφορά των </w:t>
      </w:r>
      <w:proofErr w:type="spellStart"/>
      <w:r>
        <w:rPr>
          <w:rFonts w:ascii="Bookman Old Style" w:hAnsi="Bookman Old Style" w:cs="Arial"/>
          <w:sz w:val="28"/>
          <w:szCs w:val="28"/>
          <w:lang w:val="el-GR"/>
        </w:rPr>
        <w:t>Εναγομένων</w:t>
      </w:r>
      <w:proofErr w:type="spellEnd"/>
      <w:r>
        <w:rPr>
          <w:rFonts w:ascii="Bookman Old Style" w:hAnsi="Bookman Old Style" w:cs="Arial"/>
          <w:sz w:val="28"/>
          <w:szCs w:val="28"/>
          <w:lang w:val="el-GR"/>
        </w:rPr>
        <w:t xml:space="preserve"> έναντι του Ενάγοντα και ότι η σχετική κατάληξη ότι «</w:t>
      </w:r>
      <w:r>
        <w:rPr>
          <w:rFonts w:ascii="Bookman Old Style" w:hAnsi="Bookman Old Style" w:cs="Arial"/>
          <w:i/>
          <w:iCs/>
          <w:sz w:val="28"/>
          <w:szCs w:val="28"/>
          <w:lang w:val="el-GR"/>
        </w:rPr>
        <w:t>ο Ενάγοντας δεν εξαπατήθηκε …</w:t>
      </w:r>
      <w:r>
        <w:rPr>
          <w:rFonts w:ascii="Bookman Old Style" w:hAnsi="Bookman Old Style" w:cs="Arial"/>
          <w:sz w:val="28"/>
          <w:szCs w:val="28"/>
          <w:lang w:val="el-GR"/>
        </w:rPr>
        <w:t xml:space="preserve">» είναι νομικά εσφαλμένη και επήλθε ως αποτέλεσμα παράλειψης του πρωτόδικου Δικαστηρίου να προχωρήσει σε υπαγωγή των </w:t>
      </w:r>
      <w:proofErr w:type="spellStart"/>
      <w:r>
        <w:rPr>
          <w:rFonts w:ascii="Bookman Old Style" w:hAnsi="Bookman Old Style" w:cs="Arial"/>
          <w:sz w:val="28"/>
          <w:szCs w:val="28"/>
          <w:lang w:val="el-GR"/>
        </w:rPr>
        <w:t>δικογραφημένων</w:t>
      </w:r>
      <w:proofErr w:type="spellEnd"/>
      <w:r>
        <w:rPr>
          <w:rFonts w:ascii="Bookman Old Style" w:hAnsi="Bookman Old Style" w:cs="Arial"/>
          <w:sz w:val="28"/>
          <w:szCs w:val="28"/>
          <w:lang w:val="el-GR"/>
        </w:rPr>
        <w:t xml:space="preserve"> θέσεων της πλευράς του Ενάγοντα στα γεγονότα της υπόθεσης και την </w:t>
      </w:r>
      <w:proofErr w:type="spellStart"/>
      <w:r>
        <w:rPr>
          <w:rFonts w:ascii="Bookman Old Style" w:hAnsi="Bookman Old Style" w:cs="Arial"/>
          <w:sz w:val="28"/>
          <w:szCs w:val="28"/>
          <w:lang w:val="el-GR"/>
        </w:rPr>
        <w:t>προσφερθείσα</w:t>
      </w:r>
      <w:proofErr w:type="spellEnd"/>
      <w:r>
        <w:rPr>
          <w:rFonts w:ascii="Bookman Old Style" w:hAnsi="Bookman Old Style" w:cs="Arial"/>
          <w:sz w:val="28"/>
          <w:szCs w:val="28"/>
          <w:lang w:val="el-GR"/>
        </w:rPr>
        <w:t xml:space="preserve"> μαρτυρία. Με τον </w:t>
      </w:r>
      <w:r>
        <w:rPr>
          <w:rFonts w:ascii="Bookman Old Style" w:hAnsi="Bookman Old Style" w:cs="Arial"/>
          <w:b/>
          <w:bCs/>
          <w:sz w:val="28"/>
          <w:szCs w:val="28"/>
          <w:lang w:val="el-GR"/>
        </w:rPr>
        <w:t>3</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προσβάλλεται ως ακροσφαλής η απόρριψη από το πρωτόδικο Δικαστήριο της θέσης του Ενάγοντα ότι παράλληλα και σε συνάρτηση με την επίδικη Συμφωνία μετόχων (</w:t>
      </w:r>
      <w:r w:rsidRPr="007A25C1">
        <w:rPr>
          <w:rFonts w:ascii="Bookman Old Style" w:hAnsi="Bookman Old Style" w:cs="Arial"/>
          <w:b/>
          <w:bCs/>
          <w:sz w:val="28"/>
          <w:szCs w:val="28"/>
          <w:lang w:val="el-GR"/>
        </w:rPr>
        <w:t>Τεκμήριο 7</w:t>
      </w:r>
      <w:r>
        <w:rPr>
          <w:rFonts w:ascii="Bookman Old Style" w:hAnsi="Bookman Old Style" w:cs="Arial"/>
          <w:sz w:val="28"/>
          <w:szCs w:val="28"/>
          <w:lang w:val="el-GR"/>
        </w:rPr>
        <w:t>), συμφωνήθηκε μεταξύ των διαδίκων ένας σωστός και λειτουργικός τρόπος οργάνωσης και διαχείρισης της Εταιρείας στη βάση προφορικής συμφωνίας μετόχων (</w:t>
      </w:r>
      <w:r w:rsidRPr="007A25C1">
        <w:rPr>
          <w:rFonts w:ascii="Bookman Old Style" w:hAnsi="Bookman Old Style" w:cs="Arial"/>
          <w:i/>
          <w:iCs/>
          <w:sz w:val="28"/>
          <w:szCs w:val="28"/>
          <w:lang w:val="en-US"/>
        </w:rPr>
        <w:t>shareholder</w:t>
      </w:r>
      <w:r w:rsidRPr="007A25C1">
        <w:rPr>
          <w:rFonts w:ascii="Bookman Old Style" w:hAnsi="Bookman Old Style" w:cs="Arial"/>
          <w:i/>
          <w:iCs/>
          <w:sz w:val="28"/>
          <w:szCs w:val="28"/>
          <w:lang w:val="el-GR"/>
        </w:rPr>
        <w:t xml:space="preserve">’s </w:t>
      </w:r>
      <w:proofErr w:type="spellStart"/>
      <w:r w:rsidRPr="007A25C1">
        <w:rPr>
          <w:rFonts w:ascii="Bookman Old Style" w:hAnsi="Bookman Old Style" w:cs="Arial"/>
          <w:i/>
          <w:iCs/>
          <w:sz w:val="28"/>
          <w:szCs w:val="28"/>
          <w:lang w:val="el-GR"/>
        </w:rPr>
        <w:t>agreement</w:t>
      </w:r>
      <w:proofErr w:type="spellEnd"/>
      <w:r>
        <w:rPr>
          <w:rFonts w:ascii="Bookman Old Style" w:hAnsi="Bookman Old Style" w:cs="Arial"/>
          <w:sz w:val="28"/>
          <w:szCs w:val="28"/>
          <w:lang w:val="el-GR"/>
        </w:rPr>
        <w:t xml:space="preserve">). Με τον </w:t>
      </w:r>
      <w:r>
        <w:rPr>
          <w:rFonts w:ascii="Bookman Old Style" w:hAnsi="Bookman Old Style" w:cs="Arial"/>
          <w:b/>
          <w:bCs/>
          <w:sz w:val="28"/>
          <w:szCs w:val="28"/>
          <w:lang w:val="el-GR"/>
        </w:rPr>
        <w:t>4</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υπήρξε εσφαλμένη αξιολόγηση της μαρτυρίας, καθώς και η διατύπωση αυθαίρετων ευρημάτων. </w:t>
      </w:r>
      <w:bookmarkStart w:id="1" w:name="_Hlk156138521"/>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5</w:t>
      </w:r>
      <w:r w:rsidRPr="008A558E">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βάλλεται ως εσφαλμένη η αξιολόγηση της μαρτυρίας της Μ.Ε.3</w:t>
      </w:r>
      <w:bookmarkEnd w:id="1"/>
      <w:r>
        <w:rPr>
          <w:rFonts w:ascii="Bookman Old Style" w:hAnsi="Bookman Old Style" w:cs="Arial"/>
          <w:sz w:val="28"/>
          <w:szCs w:val="28"/>
          <w:lang w:val="el-GR"/>
        </w:rPr>
        <w:t xml:space="preserve">. Με τον </w:t>
      </w:r>
      <w:r>
        <w:rPr>
          <w:rFonts w:ascii="Bookman Old Style" w:hAnsi="Bookman Old Style" w:cs="Arial"/>
          <w:b/>
          <w:bCs/>
          <w:sz w:val="28"/>
          <w:szCs w:val="28"/>
          <w:lang w:val="el-GR"/>
        </w:rPr>
        <w:t>6</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w:t>
      </w:r>
      <w:r>
        <w:rPr>
          <w:rFonts w:ascii="Bookman Old Style" w:hAnsi="Bookman Old Style" w:cs="Arial"/>
          <w:sz w:val="28"/>
          <w:szCs w:val="28"/>
          <w:lang w:val="el-GR"/>
        </w:rPr>
        <w:lastRenderedPageBreak/>
        <w:t>προσβάλλεται ως λανθασμένη η κατάληξη του πρωτόδικου Δικαστηρίου ότι «</w:t>
      </w:r>
      <w:r w:rsidRPr="008A558E">
        <w:rPr>
          <w:rFonts w:ascii="Bookman Old Style" w:hAnsi="Bookman Old Style" w:cs="Arial"/>
          <w:i/>
          <w:iCs/>
          <w:sz w:val="28"/>
          <w:szCs w:val="28"/>
          <w:lang w:val="el-GR"/>
        </w:rPr>
        <w:t>ο Ενάγοντας δεν απέδειξε οποιαδήποτε ζημιά. Αντίθετα αυτό που διαφάνηκε είναι ότι είχε συμμετάσχει σε μια επιχειρηματική δραστηριότητα η οποία τελικά δεν απέφερε το αναμενόμενο κέρδος</w:t>
      </w:r>
      <w:r>
        <w:rPr>
          <w:rFonts w:ascii="Bookman Old Style" w:hAnsi="Bookman Old Style" w:cs="Arial"/>
          <w:sz w:val="28"/>
          <w:szCs w:val="28"/>
          <w:lang w:val="el-GR"/>
        </w:rPr>
        <w:t>». Με τον</w:t>
      </w:r>
      <w:r>
        <w:rPr>
          <w:rFonts w:ascii="Bookman Old Style" w:hAnsi="Bookman Old Style" w:cs="Arial"/>
          <w:b/>
          <w:bCs/>
          <w:sz w:val="28"/>
          <w:szCs w:val="28"/>
          <w:lang w:val="el-GR"/>
        </w:rPr>
        <w:t xml:space="preserve"> 7</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λανθασμένα το πρωτόδικο Δικαστήριο απέρριψε την αξίωση του </w:t>
      </w:r>
      <w:proofErr w:type="spellStart"/>
      <w:r w:rsidR="009F7C5D">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για έκδοση διαταγμάτων</w:t>
      </w:r>
      <w:r w:rsidR="00E2446F">
        <w:rPr>
          <w:rFonts w:ascii="Bookman Old Style" w:hAnsi="Bookman Old Style" w:cs="Arial"/>
          <w:sz w:val="28"/>
          <w:szCs w:val="28"/>
          <w:lang w:val="el-GR"/>
        </w:rPr>
        <w:t>,</w:t>
      </w:r>
      <w:r>
        <w:rPr>
          <w:rFonts w:ascii="Bookman Old Style" w:hAnsi="Bookman Old Style" w:cs="Arial"/>
          <w:sz w:val="28"/>
          <w:szCs w:val="28"/>
          <w:lang w:val="el-GR"/>
        </w:rPr>
        <w:t xml:space="preserve"> με τα οποία </w:t>
      </w:r>
      <w:r w:rsidR="00E2446F">
        <w:rPr>
          <w:rFonts w:ascii="Bookman Old Style" w:hAnsi="Bookman Old Style" w:cs="Arial"/>
          <w:sz w:val="28"/>
          <w:szCs w:val="28"/>
          <w:lang w:val="el-GR"/>
        </w:rPr>
        <w:t xml:space="preserve">οι </w:t>
      </w:r>
      <w:r w:rsidR="009F7C5D">
        <w:rPr>
          <w:rFonts w:ascii="Bookman Old Style" w:hAnsi="Bookman Old Style" w:cs="Arial"/>
          <w:sz w:val="28"/>
          <w:szCs w:val="28"/>
          <w:lang w:val="el-GR"/>
        </w:rPr>
        <w:t>Εφεσίβλητοι</w:t>
      </w:r>
      <w:r w:rsidR="00E2446F">
        <w:rPr>
          <w:rFonts w:ascii="Bookman Old Style" w:hAnsi="Bookman Old Style" w:cs="Arial"/>
          <w:sz w:val="28"/>
          <w:szCs w:val="28"/>
          <w:lang w:val="el-GR"/>
        </w:rPr>
        <w:t xml:space="preserve"> 1 και 2 να υποχρεούνται να</w:t>
      </w:r>
      <w:r w:rsidR="009F7C5D">
        <w:rPr>
          <w:rFonts w:ascii="Bookman Old Style" w:hAnsi="Bookman Old Style" w:cs="Arial"/>
          <w:sz w:val="28"/>
          <w:szCs w:val="28"/>
          <w:lang w:val="el-GR"/>
        </w:rPr>
        <w:t xml:space="preserve"> του</w:t>
      </w:r>
      <w:r w:rsidR="00E2446F">
        <w:rPr>
          <w:rFonts w:ascii="Bookman Old Style" w:hAnsi="Bookman Old Style" w:cs="Arial"/>
          <w:sz w:val="28"/>
          <w:szCs w:val="28"/>
          <w:lang w:val="el-GR"/>
        </w:rPr>
        <w:t xml:space="preserve"> αποδώσουν δεόντως ελεγμένους λογαριασμούς της Εταιρείας για την περίοδο Ιουλίου του 2007 μέχρι και το Μάρτιο του 2010, στη βάση της παράβασης του οφειλόμενου προς τον </w:t>
      </w:r>
      <w:proofErr w:type="spellStart"/>
      <w:r w:rsidR="009F7C5D">
        <w:rPr>
          <w:rFonts w:ascii="Bookman Old Style" w:hAnsi="Bookman Old Style" w:cs="Arial"/>
          <w:sz w:val="28"/>
          <w:szCs w:val="28"/>
          <w:lang w:val="el-GR"/>
        </w:rPr>
        <w:t>Εφεσείοντα</w:t>
      </w:r>
      <w:proofErr w:type="spellEnd"/>
      <w:r w:rsidR="00E2446F">
        <w:rPr>
          <w:rFonts w:ascii="Bookman Old Style" w:hAnsi="Bookman Old Style" w:cs="Arial"/>
          <w:sz w:val="28"/>
          <w:szCs w:val="28"/>
          <w:lang w:val="el-GR"/>
        </w:rPr>
        <w:t xml:space="preserve"> καθήκοντος εμπιστοσύνης, καθώς και την καταβολή αντίστοιχου μερίσματος επί των κερδών της Εταιρείας για την αναφερόμενη περίοδο.</w:t>
      </w:r>
    </w:p>
    <w:p w14:paraId="0BDF33F0" w14:textId="77777777" w:rsidR="00A80E21" w:rsidRDefault="00A80E21" w:rsidP="00B74938">
      <w:pPr>
        <w:spacing w:line="480" w:lineRule="auto"/>
        <w:ind w:right="-35"/>
        <w:jc w:val="both"/>
        <w:rPr>
          <w:rFonts w:ascii="Bookman Old Style" w:hAnsi="Bookman Old Style" w:cs="Arial"/>
          <w:sz w:val="28"/>
          <w:szCs w:val="28"/>
          <w:lang w:val="el-GR"/>
        </w:rPr>
      </w:pPr>
    </w:p>
    <w:p w14:paraId="2352D331" w14:textId="27098EA8" w:rsidR="00A80E21" w:rsidRPr="00A80E21" w:rsidRDefault="00A80E21" w:rsidP="00A80E2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Κατ</w:t>
      </w:r>
      <w:r w:rsidR="00AE79D6">
        <w:rPr>
          <w:rFonts w:ascii="Bookman Old Style" w:hAnsi="Bookman Old Style" w:cs="Arial"/>
          <w:sz w:val="28"/>
          <w:szCs w:val="28"/>
          <w:lang w:val="el-GR"/>
        </w:rPr>
        <w:t xml:space="preserve">’ </w:t>
      </w:r>
      <w:r>
        <w:rPr>
          <w:rFonts w:ascii="Bookman Old Style" w:hAnsi="Bookman Old Style" w:cs="Arial"/>
          <w:sz w:val="28"/>
          <w:szCs w:val="28"/>
          <w:lang w:val="el-GR"/>
        </w:rPr>
        <w:t xml:space="preserve">αρχάς  και με δεδομένο ότι πλείστα ζητήματα που εγείρονται στην υπό κρίση Έφεση περιστρέφονται γύρω από ζητήματα αξιοπιστίας, </w:t>
      </w:r>
      <w:r w:rsidRPr="00A80E21">
        <w:rPr>
          <w:rFonts w:ascii="Bookman Old Style" w:hAnsi="Bookman Old Style" w:cs="Arial"/>
          <w:sz w:val="28"/>
          <w:szCs w:val="28"/>
          <w:lang w:val="el-GR"/>
        </w:rPr>
        <w:t>θα πρέπει να επισημανθεί</w:t>
      </w:r>
      <w:r>
        <w:rPr>
          <w:rFonts w:ascii="Bookman Old Style" w:hAnsi="Bookman Old Style" w:cs="Arial"/>
          <w:sz w:val="28"/>
          <w:szCs w:val="28"/>
          <w:lang w:val="el-GR"/>
        </w:rPr>
        <w:t xml:space="preserve"> </w:t>
      </w:r>
      <w:r w:rsidRPr="00A80E21">
        <w:rPr>
          <w:rFonts w:ascii="Bookman Old Style" w:hAnsi="Bookman Old Style" w:cs="Arial"/>
          <w:sz w:val="28"/>
          <w:szCs w:val="28"/>
          <w:lang w:val="el-GR"/>
        </w:rPr>
        <w:t>η πάγια αρχή της νομολογίας μας ότι η αξιολόγηση της</w:t>
      </w:r>
      <w:r w:rsidRPr="00640456">
        <w:rPr>
          <w:rFonts w:ascii="Arial" w:hAnsi="Arial" w:cs="Arial"/>
          <w:sz w:val="28"/>
          <w:szCs w:val="28"/>
          <w:lang w:val="el-GR"/>
        </w:rPr>
        <w:t xml:space="preserve"> </w:t>
      </w:r>
      <w:r w:rsidRPr="00A80E21">
        <w:rPr>
          <w:rFonts w:ascii="Bookman Old Style" w:hAnsi="Bookman Old Style" w:cs="Arial"/>
          <w:sz w:val="28"/>
          <w:szCs w:val="28"/>
          <w:lang w:val="el-GR"/>
        </w:rPr>
        <w:t xml:space="preserve">αξιοπιστίας ανήκει κατ’ εξοχήν στο πρωτόδικο Δικαστήριο, το οποίο έχει τη δυνατότητα να ακούσει και να παρακολουθήσει τους μάρτυρες ενόσω καταθέτουν. </w:t>
      </w:r>
    </w:p>
    <w:p w14:paraId="3B7CD1AC" w14:textId="77777777" w:rsidR="00A80E21" w:rsidRPr="00A80E21" w:rsidRDefault="00A80E21" w:rsidP="00A80E21">
      <w:pPr>
        <w:spacing w:line="480" w:lineRule="auto"/>
        <w:ind w:right="-35"/>
        <w:jc w:val="both"/>
        <w:rPr>
          <w:rFonts w:ascii="Bookman Old Style" w:hAnsi="Bookman Old Style" w:cs="Arial"/>
          <w:sz w:val="28"/>
          <w:szCs w:val="28"/>
          <w:lang w:val="el-GR"/>
        </w:rPr>
      </w:pPr>
    </w:p>
    <w:p w14:paraId="3E848947" w14:textId="77777777" w:rsidR="00A80E21" w:rsidRDefault="00A80E21" w:rsidP="00A80E21">
      <w:pPr>
        <w:spacing w:line="480" w:lineRule="auto"/>
        <w:ind w:right="-35"/>
        <w:jc w:val="both"/>
        <w:rPr>
          <w:rFonts w:ascii="Bookman Old Style" w:hAnsi="Bookman Old Style" w:cs="Arial"/>
          <w:sz w:val="28"/>
          <w:szCs w:val="28"/>
          <w:lang w:val="el-GR"/>
        </w:rPr>
      </w:pPr>
      <w:r w:rsidRPr="00A80E21">
        <w:rPr>
          <w:rFonts w:ascii="Bookman Old Style" w:hAnsi="Bookman Old Style" w:cs="Arial"/>
          <w:sz w:val="28"/>
          <w:szCs w:val="28"/>
          <w:lang w:val="el-GR"/>
        </w:rPr>
        <w:lastRenderedPageBreak/>
        <w:t xml:space="preserve">Όπως </w:t>
      </w:r>
      <w:proofErr w:type="spellStart"/>
      <w:r w:rsidRPr="00A80E21">
        <w:rPr>
          <w:rFonts w:ascii="Bookman Old Style" w:hAnsi="Bookman Old Style" w:cs="Arial"/>
          <w:sz w:val="28"/>
          <w:szCs w:val="28"/>
          <w:lang w:val="el-GR"/>
        </w:rPr>
        <w:t>ελέχθη</w:t>
      </w:r>
      <w:proofErr w:type="spellEnd"/>
      <w:r w:rsidRPr="00A80E21">
        <w:rPr>
          <w:rFonts w:ascii="Bookman Old Style" w:hAnsi="Bookman Old Style" w:cs="Arial"/>
          <w:sz w:val="28"/>
          <w:szCs w:val="28"/>
          <w:lang w:val="el-GR"/>
        </w:rPr>
        <w:t xml:space="preserve"> στην υπόθεση </w:t>
      </w:r>
      <w:r w:rsidRPr="00A80E21">
        <w:rPr>
          <w:rFonts w:ascii="Bookman Old Style" w:hAnsi="Bookman Old Style" w:cs="Arial"/>
          <w:b/>
          <w:bCs/>
          <w:i/>
          <w:iCs/>
          <w:sz w:val="28"/>
          <w:szCs w:val="28"/>
          <w:lang w:val="el-GR"/>
        </w:rPr>
        <w:t xml:space="preserve">Μιχαηλίδης ν. Οικονομίδη, Πολιτική Έφεση </w:t>
      </w:r>
      <w:proofErr w:type="spellStart"/>
      <w:r w:rsidRPr="00A80E21">
        <w:rPr>
          <w:rFonts w:ascii="Bookman Old Style" w:hAnsi="Bookman Old Style" w:cs="Arial"/>
          <w:b/>
          <w:bCs/>
          <w:i/>
          <w:iCs/>
          <w:sz w:val="28"/>
          <w:szCs w:val="28"/>
          <w:lang w:val="el-GR"/>
        </w:rPr>
        <w:t>Αρ</w:t>
      </w:r>
      <w:proofErr w:type="spellEnd"/>
      <w:r w:rsidRPr="00A80E21">
        <w:rPr>
          <w:rFonts w:ascii="Bookman Old Style" w:hAnsi="Bookman Old Style" w:cs="Arial"/>
          <w:b/>
          <w:bCs/>
          <w:i/>
          <w:iCs/>
          <w:sz w:val="28"/>
          <w:szCs w:val="28"/>
          <w:lang w:val="el-GR"/>
        </w:rPr>
        <w:t xml:space="preserve">. 94/2013, </w:t>
      </w:r>
      <w:proofErr w:type="spellStart"/>
      <w:r w:rsidRPr="00A80E21">
        <w:rPr>
          <w:rFonts w:ascii="Bookman Old Style" w:hAnsi="Bookman Old Style" w:cs="Arial"/>
          <w:b/>
          <w:bCs/>
          <w:i/>
          <w:iCs/>
          <w:sz w:val="28"/>
          <w:szCs w:val="28"/>
          <w:lang w:val="el-GR"/>
        </w:rPr>
        <w:t>ημερ</w:t>
      </w:r>
      <w:proofErr w:type="spellEnd"/>
      <w:r w:rsidRPr="00A80E21">
        <w:rPr>
          <w:rFonts w:ascii="Bookman Old Style" w:hAnsi="Bookman Old Style" w:cs="Arial"/>
          <w:b/>
          <w:bCs/>
          <w:i/>
          <w:iCs/>
          <w:sz w:val="28"/>
          <w:szCs w:val="28"/>
          <w:lang w:val="el-GR"/>
        </w:rPr>
        <w:t>. 30/6/2022</w:t>
      </w:r>
      <w:r w:rsidRPr="00A80E21">
        <w:rPr>
          <w:rFonts w:ascii="Bookman Old Style" w:hAnsi="Bookman Old Style" w:cs="Arial"/>
          <w:sz w:val="28"/>
          <w:szCs w:val="28"/>
          <w:lang w:val="el-GR"/>
        </w:rPr>
        <w:t>:</w:t>
      </w:r>
    </w:p>
    <w:p w14:paraId="7D9341CE" w14:textId="77777777" w:rsidR="00A80E21" w:rsidRPr="00A80E21" w:rsidRDefault="00A80E21" w:rsidP="00A80E21">
      <w:pPr>
        <w:spacing w:line="480" w:lineRule="auto"/>
        <w:ind w:right="-35"/>
        <w:jc w:val="both"/>
        <w:rPr>
          <w:rFonts w:ascii="Bookman Old Style" w:hAnsi="Bookman Old Style" w:cs="Arial"/>
          <w:sz w:val="28"/>
          <w:szCs w:val="28"/>
          <w:lang w:val="el-GR"/>
        </w:rPr>
      </w:pPr>
    </w:p>
    <w:p w14:paraId="155073F3" w14:textId="4019CCA3" w:rsidR="00A80E21" w:rsidRPr="001372DF" w:rsidRDefault="00A80E21" w:rsidP="00A80E21">
      <w:pPr>
        <w:spacing w:line="276" w:lineRule="auto"/>
        <w:ind w:left="426" w:right="390"/>
        <w:jc w:val="both"/>
        <w:rPr>
          <w:rFonts w:ascii="Bookman Old Style" w:hAnsi="Bookman Old Style" w:cs="Arial"/>
          <w:sz w:val="28"/>
          <w:szCs w:val="28"/>
          <w:lang w:val="el-GR"/>
        </w:rPr>
      </w:pPr>
      <w:r w:rsidRPr="00A80E21">
        <w:rPr>
          <w:rFonts w:ascii="Bookman Old Style" w:hAnsi="Bookman Old Style" w:cs="Arial"/>
          <w:sz w:val="26"/>
          <w:szCs w:val="26"/>
          <w:lang w:val="el-GR"/>
        </w:rPr>
        <w:t>«</w:t>
      </w:r>
      <w:r w:rsidRPr="001372DF">
        <w:rPr>
          <w:rFonts w:ascii="Bookman Old Style" w:hAnsi="Bookman Old Style" w:cs="Arial"/>
          <w:i/>
          <w:iCs/>
          <w:sz w:val="28"/>
          <w:szCs w:val="28"/>
          <w:lang w:val="el-GR"/>
        </w:rPr>
        <w:t>Ουκ ολίγες φορές έχει λεχθεί ότι θέματα που σχετίζονται με την αξιοπιστία των μαρτύρων εμπίπτουν εντός της αρμοδιότητας των Πρωτόδικων Δικαστηρίων αφού αυτά είναι που βλέπουν και παρακολουθούν τους μάρτυρες την ώρα που αυτοί καταθέτουν (</w:t>
      </w:r>
      <w:r w:rsidRPr="001372DF">
        <w:rPr>
          <w:rFonts w:ascii="Bookman Old Style" w:hAnsi="Bookman Old Style" w:cs="Arial"/>
          <w:b/>
          <w:bCs/>
          <w:i/>
          <w:iCs/>
          <w:sz w:val="28"/>
          <w:szCs w:val="28"/>
          <w:lang w:val="el-GR"/>
        </w:rPr>
        <w:t>Ζερβού κ.α. ν. Τράπεζα Κύπρου Δημόσια Εταιρεία (2011) 1(Γ) ΑΑΔ, 2192</w:t>
      </w:r>
      <w:r w:rsidRPr="001372DF">
        <w:rPr>
          <w:rFonts w:ascii="Bookman Old Style" w:hAnsi="Bookman Old Style" w:cs="Arial"/>
          <w:i/>
          <w:iCs/>
          <w:sz w:val="28"/>
          <w:szCs w:val="28"/>
          <w:lang w:val="el-GR"/>
        </w:rPr>
        <w:t xml:space="preserve">). Η αξιοπιστία ενός μάρτυρα κρίνεται σε ένα πολύ ευρύ πλαίσιο, περιλαμβάνει δε και την υποκειμενική αντίληψη φιλαλήθειας των μαρτύρων εκ μέρους του </w:t>
      </w:r>
      <w:proofErr w:type="spellStart"/>
      <w:r w:rsidRPr="001372DF">
        <w:rPr>
          <w:rFonts w:ascii="Bookman Old Style" w:hAnsi="Bookman Old Style" w:cs="Arial"/>
          <w:i/>
          <w:iCs/>
          <w:sz w:val="28"/>
          <w:szCs w:val="28"/>
          <w:lang w:val="el-GR"/>
        </w:rPr>
        <w:t>εκδικάζοντος</w:t>
      </w:r>
      <w:proofErr w:type="spellEnd"/>
      <w:r w:rsidRPr="001372DF">
        <w:rPr>
          <w:rFonts w:ascii="Bookman Old Style" w:hAnsi="Bookman Old Style" w:cs="Arial"/>
          <w:i/>
          <w:iCs/>
          <w:sz w:val="28"/>
          <w:szCs w:val="28"/>
          <w:lang w:val="el-GR"/>
        </w:rPr>
        <w:t xml:space="preserve"> Δικαστή (</w:t>
      </w:r>
      <w:r w:rsidRPr="001372DF">
        <w:rPr>
          <w:rFonts w:ascii="Bookman Old Style" w:hAnsi="Bookman Old Style" w:cs="Arial"/>
          <w:b/>
          <w:bCs/>
          <w:i/>
          <w:iCs/>
          <w:sz w:val="28"/>
          <w:szCs w:val="28"/>
          <w:lang w:val="el-GR"/>
        </w:rPr>
        <w:t>Χριστοφόρου ν. Αστυνομίας (2002) 2 ΑΑΔ, 407</w:t>
      </w:r>
      <w:r w:rsidRPr="001372DF">
        <w:rPr>
          <w:rFonts w:ascii="Bookman Old Style" w:hAnsi="Bookman Old Style" w:cs="Arial"/>
          <w:i/>
          <w:iCs/>
          <w:sz w:val="28"/>
          <w:szCs w:val="28"/>
          <w:lang w:val="el-GR"/>
        </w:rPr>
        <w:t>). Ισχυρισμοί ενώπιον του Εφετείου ότι η πρωτόδικη αξιολόγηση της μαρτυρίας είναι εσφαλμένη ή αδικαιολόγητη θα πρέπει να τεκμηριώνονται με πειστικά επιχειρήματα. Εάν ήταν εύλογα επιτρεπτό για το Πρωτόδικο Δικαστήριο να προβεί στα συγκεκριμένα ευρήματα αξιοπιστίας, το Εφετείο δεν επεμβαίνει. Επεμβαίνει μόνο όταν αυτά εξ αντικειμένου εμφανίζονται ανυπόστατα ή παράλογα ή αυθαίρετα ή συγκρούονται με την κοινή λογική (</w:t>
      </w:r>
      <w:r w:rsidRPr="001372DF">
        <w:rPr>
          <w:rFonts w:ascii="Bookman Old Style" w:hAnsi="Bookman Old Style" w:cs="Arial"/>
          <w:b/>
          <w:bCs/>
          <w:i/>
          <w:iCs/>
          <w:sz w:val="28"/>
          <w:szCs w:val="28"/>
          <w:lang w:val="el-GR"/>
        </w:rPr>
        <w:t>Ψωμάς ν. Δημοκρατίας (1993) 2 ΑΑΔ, 312</w:t>
      </w:r>
      <w:r w:rsidRPr="001372DF">
        <w:rPr>
          <w:rFonts w:ascii="Bookman Old Style" w:hAnsi="Bookman Old Style" w:cs="Arial"/>
          <w:i/>
          <w:iCs/>
          <w:sz w:val="28"/>
          <w:szCs w:val="28"/>
          <w:lang w:val="el-GR"/>
        </w:rPr>
        <w:t xml:space="preserve">) και </w:t>
      </w:r>
      <w:proofErr w:type="spellStart"/>
      <w:r w:rsidRPr="001372DF">
        <w:rPr>
          <w:rFonts w:ascii="Bookman Old Style" w:hAnsi="Bookman Old Style" w:cs="Arial"/>
          <w:b/>
          <w:bCs/>
          <w:i/>
          <w:iCs/>
          <w:sz w:val="28"/>
          <w:szCs w:val="28"/>
          <w:lang w:val="el-GR"/>
        </w:rPr>
        <w:t>Μαγκλή</w:t>
      </w:r>
      <w:proofErr w:type="spellEnd"/>
      <w:r w:rsidRPr="001372DF">
        <w:rPr>
          <w:rFonts w:ascii="Bookman Old Style" w:hAnsi="Bookman Old Style" w:cs="Arial"/>
          <w:b/>
          <w:bCs/>
          <w:i/>
          <w:iCs/>
          <w:sz w:val="28"/>
          <w:szCs w:val="28"/>
          <w:lang w:val="el-GR"/>
        </w:rPr>
        <w:t xml:space="preserve"> ν. Δήμου </w:t>
      </w:r>
      <w:proofErr w:type="spellStart"/>
      <w:r w:rsidRPr="001372DF">
        <w:rPr>
          <w:rFonts w:ascii="Bookman Old Style" w:hAnsi="Bookman Old Style" w:cs="Arial"/>
          <w:b/>
          <w:bCs/>
          <w:i/>
          <w:iCs/>
          <w:sz w:val="28"/>
          <w:szCs w:val="28"/>
          <w:lang w:val="el-GR"/>
        </w:rPr>
        <w:t>Γερμασόγειας</w:t>
      </w:r>
      <w:proofErr w:type="spellEnd"/>
      <w:r w:rsidRPr="001372DF">
        <w:rPr>
          <w:rFonts w:ascii="Bookman Old Style" w:hAnsi="Bookman Old Style" w:cs="Arial"/>
          <w:b/>
          <w:bCs/>
          <w:i/>
          <w:iCs/>
          <w:sz w:val="28"/>
          <w:szCs w:val="28"/>
          <w:lang w:val="el-GR"/>
        </w:rPr>
        <w:t xml:space="preserve"> (1999) 2 ΑΑΔ, 244</w:t>
      </w:r>
      <w:r w:rsidRPr="001372DF">
        <w:rPr>
          <w:rFonts w:ascii="Bookman Old Style" w:hAnsi="Bookman Old Style" w:cs="Arial"/>
          <w:i/>
          <w:iCs/>
          <w:sz w:val="28"/>
          <w:szCs w:val="28"/>
          <w:lang w:val="el-GR"/>
        </w:rPr>
        <w:t>).Περαιτέρω τυχόν αντιφάσεις ή αδυναμίες που υπάρχουν στη μαρτυρία δεν αποτελούν λόγο επέμβασης του Εφετείου, εκτός αν είναι τόσο ουσιώδεις ώστε να οδηγούν στο συμπέρασμα ότι το Πρωτόδικο Δικαστήριο εσφαλμένα αποδέχθηκε τη μαρτυρία ως αξιόπιστη</w:t>
      </w:r>
      <w:r w:rsidR="00AE79D6">
        <w:rPr>
          <w:rFonts w:ascii="Bookman Old Style" w:hAnsi="Bookman Old Style" w:cs="Arial"/>
          <w:i/>
          <w:iCs/>
          <w:sz w:val="28"/>
          <w:szCs w:val="28"/>
          <w:lang w:val="el-GR"/>
        </w:rPr>
        <w:t>.</w:t>
      </w:r>
      <w:r w:rsidRPr="001372DF">
        <w:rPr>
          <w:rFonts w:ascii="Bookman Old Style" w:hAnsi="Bookman Old Style" w:cs="Arial"/>
          <w:sz w:val="28"/>
          <w:szCs w:val="28"/>
          <w:lang w:val="el-GR"/>
        </w:rPr>
        <w:t>»</w:t>
      </w:r>
    </w:p>
    <w:p w14:paraId="4A7CEB59" w14:textId="77777777" w:rsidR="00A80E21" w:rsidRPr="00A80E21" w:rsidRDefault="00A80E21" w:rsidP="00A80E21">
      <w:pPr>
        <w:spacing w:line="480" w:lineRule="auto"/>
        <w:ind w:right="-35"/>
        <w:jc w:val="both"/>
        <w:rPr>
          <w:rFonts w:ascii="Bookman Old Style" w:hAnsi="Bookman Old Style" w:cs="Arial"/>
          <w:sz w:val="26"/>
          <w:szCs w:val="26"/>
          <w:lang w:val="el-GR"/>
        </w:rPr>
      </w:pPr>
    </w:p>
    <w:p w14:paraId="7D015C22" w14:textId="77777777" w:rsidR="00B16B08" w:rsidRDefault="00B16B08" w:rsidP="00B74938">
      <w:pPr>
        <w:spacing w:line="480" w:lineRule="auto"/>
        <w:ind w:right="-35"/>
        <w:jc w:val="both"/>
        <w:rPr>
          <w:rFonts w:ascii="Bookman Old Style" w:hAnsi="Bookman Old Style" w:cs="Arial"/>
          <w:sz w:val="28"/>
          <w:szCs w:val="28"/>
          <w:lang w:val="el-GR"/>
        </w:rPr>
      </w:pPr>
    </w:p>
    <w:p w14:paraId="6832C09C" w14:textId="4D46B23B" w:rsidR="00B16B08" w:rsidRDefault="00B16B08"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της αιτιολογίας του </w:t>
      </w:r>
      <w:r>
        <w:rPr>
          <w:rFonts w:ascii="Bookman Old Style" w:hAnsi="Bookman Old Style" w:cs="Arial"/>
          <w:b/>
          <w:bCs/>
          <w:sz w:val="28"/>
          <w:szCs w:val="28"/>
          <w:lang w:val="el-GR"/>
        </w:rPr>
        <w:t>1</w:t>
      </w:r>
      <w:r w:rsidRPr="00B16B08">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παραπονείται ότι το πρωτόδικο Δικαστήριο απέτυχε να εντοπίσει την ουσία της ενώπιον του διαφοράς, η οποία συνίστατο στη δόλια συναυτουργία και/ή συνωμοσία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για την εξαπάτηση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οι οποίοι </w:t>
      </w:r>
      <w:r>
        <w:rPr>
          <w:rFonts w:ascii="Bookman Old Style" w:hAnsi="Bookman Old Style" w:cs="Arial"/>
          <w:sz w:val="28"/>
          <w:szCs w:val="28"/>
          <w:lang w:val="el-GR"/>
        </w:rPr>
        <w:lastRenderedPageBreak/>
        <w:t xml:space="preserve">περί τον Ιούνιο του 2009 τον απέκλεισαν από του να συμμετάσχει στη διαχείριση της Εταιρείας με σκοπό να ιδιοποιηθούν περιουσία και κέρδη της Εταιρείας και να την αφήσουν στη συνέχεια να εκκαθαριστεί. Ειδικότερα προβλήθηκε ότι το πρωτόδικο Δικαστήριο προσεγγίζοντας λανθασμένα την όλη υπόθεση διερεύνησε και </w:t>
      </w:r>
      <w:proofErr w:type="spellStart"/>
      <w:r>
        <w:rPr>
          <w:rFonts w:ascii="Bookman Old Style" w:hAnsi="Bookman Old Style" w:cs="Arial"/>
          <w:sz w:val="28"/>
          <w:szCs w:val="28"/>
          <w:lang w:val="el-GR"/>
        </w:rPr>
        <w:t>απεφάνθη</w:t>
      </w:r>
      <w:proofErr w:type="spellEnd"/>
      <w:r>
        <w:rPr>
          <w:rFonts w:ascii="Bookman Old Style" w:hAnsi="Bookman Old Style" w:cs="Arial"/>
          <w:sz w:val="28"/>
          <w:szCs w:val="28"/>
          <w:lang w:val="el-GR"/>
        </w:rPr>
        <w:t xml:space="preserve"> για το κατά πόσο η δόλια συμπεριφορά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έλαβε χώρα κατά το 2007 κατά τη σύναψη της προφορικής συμφωνίας μετόχων, χρησιμοποιώντας μάλιστα τα συμπεράσματα του για να κρίνει ως υπερβολική και μη αξιόπιστη τη μαρτυρία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w:t>
      </w:r>
      <w:r w:rsidR="003C4CB0">
        <w:rPr>
          <w:rFonts w:ascii="Bookman Old Style" w:hAnsi="Bookman Old Style" w:cs="Arial"/>
          <w:sz w:val="28"/>
          <w:szCs w:val="28"/>
          <w:lang w:val="el-GR"/>
        </w:rPr>
        <w:t xml:space="preserve"> </w:t>
      </w:r>
    </w:p>
    <w:p w14:paraId="570A9403" w14:textId="77777777" w:rsidR="003C4CB0" w:rsidRDefault="003C4CB0" w:rsidP="00B74938">
      <w:pPr>
        <w:spacing w:line="480" w:lineRule="auto"/>
        <w:ind w:right="-35"/>
        <w:jc w:val="both"/>
        <w:rPr>
          <w:rFonts w:ascii="Bookman Old Style" w:hAnsi="Bookman Old Style" w:cs="Arial"/>
          <w:sz w:val="28"/>
          <w:szCs w:val="28"/>
          <w:lang w:val="el-GR"/>
        </w:rPr>
      </w:pPr>
    </w:p>
    <w:p w14:paraId="7E6023C8" w14:textId="15315891" w:rsidR="003C4CB0" w:rsidRDefault="003C4CB0"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Για τους λόγους που θα εξηγήσουμε, δεν διαπιστώνουμε να υπήρξε οποιαδήποτε παρανόηση από το πρωτόδικο Δικαστήριο αναφορικά με το χρόνο που έλαβε χώρα η κατ’ ισχυρισμό δόλια συμπεριφορά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w:t>
      </w:r>
    </w:p>
    <w:p w14:paraId="4E0BC76A" w14:textId="77777777" w:rsidR="003C4CB0" w:rsidRDefault="003C4CB0" w:rsidP="00B74938">
      <w:pPr>
        <w:spacing w:line="480" w:lineRule="auto"/>
        <w:ind w:right="-35"/>
        <w:jc w:val="both"/>
        <w:rPr>
          <w:rFonts w:ascii="Bookman Old Style" w:hAnsi="Bookman Old Style" w:cs="Arial"/>
          <w:sz w:val="28"/>
          <w:szCs w:val="28"/>
          <w:lang w:val="el-GR"/>
        </w:rPr>
      </w:pPr>
    </w:p>
    <w:p w14:paraId="24D6B503" w14:textId="55C28D7A" w:rsidR="00AD192D" w:rsidRDefault="003C4CB0"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 </w:t>
      </w:r>
      <w:proofErr w:type="spellStart"/>
      <w:r>
        <w:rPr>
          <w:rFonts w:ascii="Bookman Old Style" w:hAnsi="Bookman Old Style" w:cs="Arial"/>
          <w:sz w:val="28"/>
          <w:szCs w:val="28"/>
          <w:lang w:val="el-GR"/>
        </w:rPr>
        <w:t>πρώτοις</w:t>
      </w:r>
      <w:proofErr w:type="spellEnd"/>
      <w:r w:rsidR="00D06ED7">
        <w:rPr>
          <w:rFonts w:ascii="Bookman Old Style" w:hAnsi="Bookman Old Style" w:cs="Arial"/>
          <w:sz w:val="28"/>
          <w:szCs w:val="28"/>
          <w:lang w:val="el-GR"/>
        </w:rPr>
        <w:t>,</w:t>
      </w:r>
      <w:r>
        <w:rPr>
          <w:rFonts w:ascii="Bookman Old Style" w:hAnsi="Bookman Old Style" w:cs="Arial"/>
          <w:sz w:val="28"/>
          <w:szCs w:val="28"/>
          <w:lang w:val="el-GR"/>
        </w:rPr>
        <w:t xml:space="preserve"> και σε συμφωνία με τα όσα υποστήριξαν οι </w:t>
      </w:r>
      <w:proofErr w:type="spellStart"/>
      <w:r>
        <w:rPr>
          <w:rFonts w:ascii="Bookman Old Style" w:hAnsi="Bookman Old Style" w:cs="Arial"/>
          <w:sz w:val="28"/>
          <w:szCs w:val="28"/>
          <w:lang w:val="el-GR"/>
        </w:rPr>
        <w:t>ευπαίδευτοι</w:t>
      </w:r>
      <w:proofErr w:type="spellEnd"/>
      <w:r>
        <w:rPr>
          <w:rFonts w:ascii="Bookman Old Style" w:hAnsi="Bookman Old Style" w:cs="Arial"/>
          <w:sz w:val="28"/>
          <w:szCs w:val="28"/>
          <w:lang w:val="el-GR"/>
        </w:rPr>
        <w:t xml:space="preserve"> συνήγοροι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το πρωτόδικο Δικαστήριο αναφέρθηκε στην Απόφαση του εκτενώς σε όλο</w:t>
      </w:r>
      <w:r w:rsidR="00AE79D6">
        <w:rPr>
          <w:rFonts w:ascii="Bookman Old Style" w:hAnsi="Bookman Old Style" w:cs="Arial"/>
          <w:sz w:val="28"/>
          <w:szCs w:val="28"/>
          <w:lang w:val="el-GR"/>
        </w:rPr>
        <w:t xml:space="preserve"> το</w:t>
      </w:r>
      <w:r>
        <w:rPr>
          <w:rFonts w:ascii="Bookman Old Style" w:hAnsi="Bookman Old Style" w:cs="Arial"/>
          <w:sz w:val="28"/>
          <w:szCs w:val="28"/>
          <w:lang w:val="el-GR"/>
        </w:rPr>
        <w:t xml:space="preserve"> φάσμα και τη διάρκεια της συνεργασίας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με τους Εφεσίβλητους και όχι μόνο κατά την περίοδο του 2009</w:t>
      </w:r>
      <w:r w:rsidR="00FD74B9">
        <w:rPr>
          <w:rFonts w:ascii="Bookman Old Style" w:hAnsi="Bookman Old Style" w:cs="Arial"/>
          <w:sz w:val="28"/>
          <w:szCs w:val="28"/>
          <w:lang w:val="el-GR"/>
        </w:rPr>
        <w:t xml:space="preserve">, ώστε να εξηγήσει τους λόγους για τους οποίους διαπίστωνε ότι ο </w:t>
      </w:r>
      <w:proofErr w:type="spellStart"/>
      <w:r w:rsidR="00FD74B9">
        <w:rPr>
          <w:rFonts w:ascii="Bookman Old Style" w:hAnsi="Bookman Old Style" w:cs="Arial"/>
          <w:sz w:val="28"/>
          <w:szCs w:val="28"/>
          <w:lang w:val="el-GR"/>
        </w:rPr>
        <w:t>Εφεσείων</w:t>
      </w:r>
      <w:proofErr w:type="spellEnd"/>
      <w:r w:rsidR="00FD74B9">
        <w:rPr>
          <w:rFonts w:ascii="Bookman Old Style" w:hAnsi="Bookman Old Style" w:cs="Arial"/>
          <w:sz w:val="28"/>
          <w:szCs w:val="28"/>
          <w:lang w:val="el-GR"/>
        </w:rPr>
        <w:t xml:space="preserve"> δεν θα μπορούσε να εξαπατηθεί και δεν εξαπατήθηκε από τους </w:t>
      </w:r>
      <w:r w:rsidR="00FD74B9">
        <w:rPr>
          <w:rFonts w:ascii="Bookman Old Style" w:hAnsi="Bookman Old Style" w:cs="Arial"/>
          <w:sz w:val="28"/>
          <w:szCs w:val="28"/>
          <w:lang w:val="el-GR"/>
        </w:rPr>
        <w:lastRenderedPageBreak/>
        <w:t>Εφεσίβλητους</w:t>
      </w:r>
      <w:r w:rsidR="00AD192D">
        <w:rPr>
          <w:rFonts w:ascii="Bookman Old Style" w:hAnsi="Bookman Old Style" w:cs="Arial"/>
          <w:sz w:val="28"/>
          <w:szCs w:val="28"/>
          <w:lang w:val="el-GR"/>
        </w:rPr>
        <w:t>, αλλά και για να καταδείξει τα σημεία εκείνα τα οποία οδηγούσαν στην κρίση ότι η μαρτυρία</w:t>
      </w:r>
      <w:r w:rsidR="009F7C5D">
        <w:rPr>
          <w:rFonts w:ascii="Bookman Old Style" w:hAnsi="Bookman Old Style" w:cs="Arial"/>
          <w:sz w:val="28"/>
          <w:szCs w:val="28"/>
          <w:lang w:val="el-GR"/>
        </w:rPr>
        <w:t xml:space="preserve"> του </w:t>
      </w:r>
      <w:r w:rsidR="00AD192D">
        <w:rPr>
          <w:rFonts w:ascii="Bookman Old Style" w:hAnsi="Bookman Old Style" w:cs="Arial"/>
          <w:sz w:val="28"/>
          <w:szCs w:val="28"/>
          <w:lang w:val="el-GR"/>
        </w:rPr>
        <w:t xml:space="preserve">δεν ήταν αξιόπιστη. </w:t>
      </w:r>
    </w:p>
    <w:p w14:paraId="2B0EC156" w14:textId="77777777" w:rsidR="001372DF" w:rsidRDefault="001372DF" w:rsidP="00B74938">
      <w:pPr>
        <w:spacing w:line="480" w:lineRule="auto"/>
        <w:ind w:right="-35"/>
        <w:jc w:val="both"/>
        <w:rPr>
          <w:rFonts w:ascii="Bookman Old Style" w:hAnsi="Bookman Old Style" w:cs="Arial"/>
          <w:sz w:val="28"/>
          <w:szCs w:val="28"/>
          <w:lang w:val="el-GR"/>
        </w:rPr>
      </w:pPr>
    </w:p>
    <w:p w14:paraId="1693A00D" w14:textId="3E72C032" w:rsidR="009856AA" w:rsidRDefault="00AD192D"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Επιπλέον θα πρέπει να διευκρινιστεί ότι η εκδοχή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ήταν ότι</w:t>
      </w:r>
      <w:r w:rsidR="00D06ED7">
        <w:rPr>
          <w:rFonts w:ascii="Bookman Old Style" w:hAnsi="Bookman Old Style" w:cs="Arial"/>
          <w:sz w:val="28"/>
          <w:szCs w:val="28"/>
          <w:lang w:val="el-GR"/>
        </w:rPr>
        <w:t xml:space="preserve"> ο</w:t>
      </w:r>
      <w:r w:rsidR="009856AA">
        <w:rPr>
          <w:rFonts w:ascii="Bookman Old Style" w:hAnsi="Bookman Old Style" w:cs="Arial"/>
          <w:sz w:val="28"/>
          <w:szCs w:val="28"/>
          <w:lang w:val="el-GR"/>
        </w:rPr>
        <w:t xml:space="preserve"> λόγος που αυτός προέβη στην αγορά μετοχών της Εταιρείας</w:t>
      </w:r>
      <w:r w:rsidR="00D06ED7">
        <w:rPr>
          <w:rFonts w:ascii="Bookman Old Style" w:hAnsi="Bookman Old Style" w:cs="Arial"/>
          <w:sz w:val="28"/>
          <w:szCs w:val="28"/>
          <w:lang w:val="el-GR"/>
        </w:rPr>
        <w:t>,</w:t>
      </w:r>
      <w:r w:rsidR="009856AA">
        <w:rPr>
          <w:rFonts w:ascii="Bookman Old Style" w:hAnsi="Bookman Old Style" w:cs="Arial"/>
          <w:sz w:val="28"/>
          <w:szCs w:val="28"/>
          <w:lang w:val="el-GR"/>
        </w:rPr>
        <w:t xml:space="preserve"> ήταν τα όσα συμφωνήθηκαν και οι συγκεκριμένες δεσμεύσεις του Εφεσίβλητου 1 προς τον ίδιο ότι η διαχείριση και ο τρόπος λειτουργίας της Εταιρείας θα ήταν υπό τον αποκλειστικό έλεγχο του </w:t>
      </w:r>
      <w:proofErr w:type="spellStart"/>
      <w:r w:rsidR="009856AA">
        <w:rPr>
          <w:rFonts w:ascii="Bookman Old Style" w:hAnsi="Bookman Old Style" w:cs="Arial"/>
          <w:sz w:val="28"/>
          <w:szCs w:val="28"/>
          <w:lang w:val="el-GR"/>
        </w:rPr>
        <w:t>Εφεσείοντα</w:t>
      </w:r>
      <w:proofErr w:type="spellEnd"/>
      <w:r w:rsidR="009856AA">
        <w:rPr>
          <w:rFonts w:ascii="Bookman Old Style" w:hAnsi="Bookman Old Style" w:cs="Arial"/>
          <w:sz w:val="28"/>
          <w:szCs w:val="28"/>
          <w:lang w:val="el-GR"/>
        </w:rPr>
        <w:t xml:space="preserve"> και Εφεσίβλητου 2 και, τούτο, στη βάση μιας προφορικής συμφωνίας μετόχων και ότι, </w:t>
      </w:r>
      <w:r>
        <w:rPr>
          <w:rFonts w:ascii="Bookman Old Style" w:hAnsi="Bookman Old Style" w:cs="Arial"/>
          <w:sz w:val="28"/>
          <w:szCs w:val="28"/>
          <w:lang w:val="el-GR"/>
        </w:rPr>
        <w:t>κατά παράβαση των συμφωνηθέντων</w:t>
      </w:r>
      <w:r w:rsidR="009856AA">
        <w:rPr>
          <w:rFonts w:ascii="Bookman Old Style" w:hAnsi="Bookman Old Style" w:cs="Arial"/>
          <w:sz w:val="28"/>
          <w:szCs w:val="28"/>
          <w:lang w:val="el-GR"/>
        </w:rPr>
        <w:t>,</w:t>
      </w:r>
      <w:r>
        <w:rPr>
          <w:rFonts w:ascii="Bookman Old Style" w:hAnsi="Bookman Old Style" w:cs="Arial"/>
          <w:sz w:val="28"/>
          <w:szCs w:val="28"/>
          <w:lang w:val="el-GR"/>
        </w:rPr>
        <w:t xml:space="preserve"> </w:t>
      </w:r>
      <w:r w:rsidR="009856AA">
        <w:rPr>
          <w:rFonts w:ascii="Bookman Old Style" w:hAnsi="Bookman Old Style" w:cs="Arial"/>
          <w:sz w:val="28"/>
          <w:szCs w:val="28"/>
          <w:lang w:val="el-GR"/>
        </w:rPr>
        <w:t xml:space="preserve">τον </w:t>
      </w:r>
      <w:r>
        <w:rPr>
          <w:rFonts w:ascii="Bookman Old Style" w:hAnsi="Bookman Old Style" w:cs="Arial"/>
          <w:sz w:val="28"/>
          <w:szCs w:val="28"/>
          <w:lang w:val="el-GR"/>
        </w:rPr>
        <w:t xml:space="preserve">απέκλεισαν </w:t>
      </w:r>
      <w:r w:rsidR="009856AA">
        <w:rPr>
          <w:rFonts w:ascii="Bookman Old Style" w:hAnsi="Bookman Old Style" w:cs="Arial"/>
          <w:sz w:val="28"/>
          <w:szCs w:val="28"/>
          <w:lang w:val="el-GR"/>
        </w:rPr>
        <w:t xml:space="preserve">από </w:t>
      </w:r>
      <w:r>
        <w:rPr>
          <w:rFonts w:ascii="Bookman Old Style" w:hAnsi="Bookman Old Style" w:cs="Arial"/>
          <w:sz w:val="28"/>
          <w:szCs w:val="28"/>
          <w:lang w:val="el-GR"/>
        </w:rPr>
        <w:t>τη συμμετοχή του στη διαχείριση και λειτουργία της Εταιρείας</w:t>
      </w:r>
      <w:r w:rsidR="009856AA">
        <w:rPr>
          <w:rFonts w:ascii="Bookman Old Style" w:hAnsi="Bookman Old Style" w:cs="Arial"/>
          <w:sz w:val="28"/>
          <w:szCs w:val="28"/>
          <w:lang w:val="el-GR"/>
        </w:rPr>
        <w:t>.</w:t>
      </w:r>
    </w:p>
    <w:p w14:paraId="1EED28C2" w14:textId="52DD8066" w:rsidR="00AD192D" w:rsidRDefault="00AD192D"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 </w:t>
      </w:r>
    </w:p>
    <w:p w14:paraId="35D618B3" w14:textId="71704B76" w:rsidR="00AD192D" w:rsidRDefault="00AD192D"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ωστόσο, στο πλαίσιο της αξιολόγησης της μαρτυρίας απέρριψε τη θέση ότι</w:t>
      </w:r>
      <w:r w:rsidR="001F13F5" w:rsidRPr="001F13F5">
        <w:rPr>
          <w:rFonts w:ascii="Bookman Old Style" w:hAnsi="Bookman Old Style" w:cs="Arial"/>
          <w:sz w:val="28"/>
          <w:szCs w:val="28"/>
          <w:lang w:val="el-GR"/>
        </w:rPr>
        <w:t xml:space="preserve"> </w:t>
      </w:r>
      <w:r w:rsidR="001F13F5">
        <w:rPr>
          <w:rFonts w:ascii="Bookman Old Style" w:hAnsi="Bookman Old Style" w:cs="Arial"/>
          <w:sz w:val="28"/>
          <w:szCs w:val="28"/>
          <w:lang w:val="el-GR"/>
        </w:rPr>
        <w:t>μέσω της προφορικής συμφωνίας μετόχων</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εξαπατήθηκε ή πείστηκε για την αγορά των μετοχών, </w:t>
      </w:r>
      <w:r w:rsidR="001F13F5">
        <w:rPr>
          <w:rFonts w:ascii="Bookman Old Style" w:hAnsi="Bookman Old Style" w:cs="Arial"/>
          <w:sz w:val="28"/>
          <w:szCs w:val="28"/>
          <w:lang w:val="el-GR"/>
        </w:rPr>
        <w:t xml:space="preserve">και τούτο γιατί δεν θεώρησε αξιόπιστη την εκδοχή του </w:t>
      </w:r>
      <w:proofErr w:type="spellStart"/>
      <w:r w:rsidR="001F13F5">
        <w:rPr>
          <w:rFonts w:ascii="Bookman Old Style" w:hAnsi="Bookman Old Style" w:cs="Arial"/>
          <w:sz w:val="28"/>
          <w:szCs w:val="28"/>
          <w:lang w:val="el-GR"/>
        </w:rPr>
        <w:t>Εφεσείοντα</w:t>
      </w:r>
      <w:proofErr w:type="spellEnd"/>
      <w:r w:rsidR="001F13F5">
        <w:rPr>
          <w:rFonts w:ascii="Bookman Old Style" w:hAnsi="Bookman Old Style" w:cs="Arial"/>
          <w:sz w:val="28"/>
          <w:szCs w:val="28"/>
          <w:lang w:val="el-GR"/>
        </w:rPr>
        <w:t xml:space="preserve"> ότι τέτοια Συμφωνία είχε ποτέ συναφθεί</w:t>
      </w:r>
      <w:r>
        <w:rPr>
          <w:rFonts w:ascii="Bookman Old Style" w:hAnsi="Bookman Old Style" w:cs="Arial"/>
          <w:sz w:val="28"/>
          <w:szCs w:val="28"/>
          <w:lang w:val="el-GR"/>
        </w:rPr>
        <w:t xml:space="preserve">. </w:t>
      </w:r>
      <w:r w:rsidR="00270723">
        <w:rPr>
          <w:rFonts w:ascii="Bookman Old Style" w:hAnsi="Bookman Old Style" w:cs="Arial"/>
          <w:sz w:val="28"/>
          <w:szCs w:val="28"/>
          <w:lang w:val="el-GR"/>
        </w:rPr>
        <w:t>Σε σχέση με το ζήτημα αυτό το πρωτόδικο Δικαστήριο, αξιολογώντας την προσαχθείσα μαρτυρία, ανέφερε και τα εξής:</w:t>
      </w:r>
    </w:p>
    <w:p w14:paraId="44267967" w14:textId="77777777" w:rsidR="00270723" w:rsidRDefault="00270723" w:rsidP="00B74938">
      <w:pPr>
        <w:spacing w:line="480" w:lineRule="auto"/>
        <w:ind w:right="-35"/>
        <w:jc w:val="both"/>
        <w:rPr>
          <w:rFonts w:ascii="Bookman Old Style" w:hAnsi="Bookman Old Style" w:cs="Arial"/>
          <w:sz w:val="28"/>
          <w:szCs w:val="28"/>
          <w:lang w:val="el-GR"/>
        </w:rPr>
      </w:pPr>
    </w:p>
    <w:p w14:paraId="6B38F6AF" w14:textId="3F32B4C2" w:rsidR="00270723" w:rsidRDefault="00270723" w:rsidP="00270723">
      <w:pPr>
        <w:overflowPunct w:val="0"/>
        <w:spacing w:line="276" w:lineRule="auto"/>
        <w:ind w:left="426" w:right="390"/>
        <w:jc w:val="both"/>
        <w:rPr>
          <w:rFonts w:ascii="Bookman Old Style" w:hAnsi="Bookman Old Style" w:cs="Arial"/>
          <w:sz w:val="28"/>
          <w:szCs w:val="28"/>
          <w:lang w:val="el-GR"/>
        </w:rPr>
      </w:pPr>
      <w:r w:rsidRPr="000C1B94">
        <w:rPr>
          <w:rFonts w:ascii="Bookman Old Style" w:hAnsi="Bookman Old Style" w:cs="Arial"/>
          <w:sz w:val="28"/>
          <w:szCs w:val="28"/>
          <w:lang w:val="el-GR"/>
        </w:rPr>
        <w:t xml:space="preserve">«Υποστήριξε ο Ενάγοντας ότι ο λόγος που ο ίδιος είχε αγοράσει τις μετοχές ήταν οι δεσμεύσεις του Εναγόμενου 1 να βοηθήσει την επιχείρηση πλην όμως στην μαρτυρία του ανέφερε ότι αυτές οι δεσμεύσεις είχαν γίνει μετά την υπογραφή της συμφωνίας, </w:t>
      </w:r>
      <w:r w:rsidRPr="000C1B94">
        <w:rPr>
          <w:rFonts w:ascii="Bookman Old Style" w:hAnsi="Bookman Old Style" w:cs="Arial"/>
          <w:b/>
          <w:bCs/>
          <w:sz w:val="28"/>
          <w:szCs w:val="28"/>
          <w:lang w:val="el-GR"/>
        </w:rPr>
        <w:lastRenderedPageBreak/>
        <w:t>Τεκμήριο 7</w:t>
      </w:r>
      <w:r w:rsidRPr="000C1B94">
        <w:rPr>
          <w:rFonts w:ascii="Bookman Old Style" w:hAnsi="Bookman Old Style" w:cs="Arial"/>
          <w:sz w:val="28"/>
          <w:szCs w:val="28"/>
          <w:lang w:val="el-GR"/>
        </w:rPr>
        <w:t xml:space="preserve">, ενώ παράλληλα ισχυρίστηκε ότι αυτός ήταν που προωθούσε την επιχείρηση και την οδήγησε σε κερδοφορία. Τότε γιατί χρειαζόταν τον Εναγόμενο 1 </w:t>
      </w:r>
      <w:r w:rsidRPr="000C1B94">
        <w:rPr>
          <w:rFonts w:ascii="Bookman Old Style" w:hAnsi="Bookman Old Style" w:cs="Arial"/>
          <w:sz w:val="28"/>
          <w:szCs w:val="28"/>
        </w:rPr>
        <w:t> </w:t>
      </w:r>
      <w:r w:rsidRPr="000C1B94">
        <w:rPr>
          <w:rFonts w:ascii="Bookman Old Style" w:hAnsi="Bookman Old Style" w:cs="Arial"/>
          <w:sz w:val="28"/>
          <w:szCs w:val="28"/>
          <w:lang w:val="el-GR"/>
        </w:rPr>
        <w:t>να τον βοηθήσει.</w:t>
      </w:r>
      <w:r w:rsidRPr="000C1B94">
        <w:rPr>
          <w:rFonts w:ascii="Bookman Old Style" w:hAnsi="Bookman Old Style" w:cs="Arial"/>
          <w:sz w:val="28"/>
          <w:szCs w:val="28"/>
        </w:rPr>
        <w:t> </w:t>
      </w:r>
      <w:r w:rsidRPr="000C1B94">
        <w:rPr>
          <w:rFonts w:ascii="Bookman Old Style" w:hAnsi="Bookman Old Style" w:cs="Arial"/>
          <w:sz w:val="28"/>
          <w:szCs w:val="28"/>
          <w:lang w:val="el-GR"/>
        </w:rPr>
        <w:t xml:space="preserve"> Πώς εξαπατήθηκε αν πράγματι η επιχείρηση είχε καταστεί κερδοφόρα λόγω των δικών του ενεργειών; Θεωρώ ότι δεν θα μπορούσε να εξαπατηθεί με την ευκολία που ο ίδιος έχει παρουσιάσει ότι εξαπατήθηκε. Βρίσκω δύσκολο να αποδεχθώ τον ισχυρισμό του Ενάγοντα ότι είχε γίνει προφορική συμφωνία σε σχέση με όλα τα θέματα που αφορούσαν την ομαλή λειτουργία του συνεταιρισμού. Ένας έμπειρος και πετυχημένος επιχειρηματίας, όπως ο Ενάγοντας είχε παρουσιάσει τον εαυτό του, θα διασφάλιζε όλα όσα σημαντικά θέματα κατέγραψε στην παράγραφο 10 της γραπτής του Δήλωσης </w:t>
      </w:r>
      <w:r w:rsidRPr="000C1B94">
        <w:rPr>
          <w:rFonts w:ascii="Bookman Old Style" w:hAnsi="Bookman Old Style" w:cs="Arial"/>
          <w:b/>
          <w:bCs/>
          <w:sz w:val="28"/>
          <w:szCs w:val="28"/>
          <w:lang w:val="el-GR"/>
        </w:rPr>
        <w:t>Τεκμήριο 1</w:t>
      </w:r>
      <w:r w:rsidR="000662DA">
        <w:rPr>
          <w:rFonts w:ascii="Bookman Old Style" w:hAnsi="Bookman Old Style" w:cs="Arial"/>
          <w:sz w:val="28"/>
          <w:szCs w:val="28"/>
          <w:lang w:val="el-GR"/>
        </w:rPr>
        <w:t>.</w:t>
      </w:r>
      <w:r w:rsidRPr="000C1B94">
        <w:rPr>
          <w:rFonts w:ascii="Bookman Old Style" w:hAnsi="Bookman Old Style" w:cs="Arial"/>
          <w:sz w:val="28"/>
          <w:szCs w:val="28"/>
          <w:lang w:val="el-GR"/>
        </w:rPr>
        <w:t>»</w:t>
      </w:r>
    </w:p>
    <w:p w14:paraId="37A504DE" w14:textId="77777777" w:rsidR="000C1B94" w:rsidRDefault="000C1B94" w:rsidP="00270723">
      <w:pPr>
        <w:overflowPunct w:val="0"/>
        <w:spacing w:line="276" w:lineRule="auto"/>
        <w:ind w:left="426" w:right="390"/>
        <w:jc w:val="both"/>
        <w:rPr>
          <w:rFonts w:ascii="Bookman Old Style" w:hAnsi="Bookman Old Style" w:cs="Arial"/>
          <w:sz w:val="28"/>
          <w:szCs w:val="28"/>
          <w:lang w:val="el-GR"/>
        </w:rPr>
      </w:pPr>
    </w:p>
    <w:p w14:paraId="5CB14B06" w14:textId="77777777" w:rsidR="000C1B94" w:rsidRPr="0031743C" w:rsidRDefault="000C1B94" w:rsidP="00270723">
      <w:pPr>
        <w:overflowPunct w:val="0"/>
        <w:spacing w:line="276" w:lineRule="auto"/>
        <w:ind w:left="426" w:right="390"/>
        <w:jc w:val="both"/>
        <w:rPr>
          <w:rFonts w:ascii="Bookman Old Style" w:hAnsi="Bookman Old Style"/>
          <w:sz w:val="28"/>
          <w:szCs w:val="28"/>
          <w:lang w:val="el-GR"/>
        </w:rPr>
      </w:pPr>
    </w:p>
    <w:p w14:paraId="27E43F97" w14:textId="6DD8CA01" w:rsidR="003C4CB0" w:rsidRDefault="00270723"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ισχυρίζεται</w:t>
      </w:r>
      <w:r w:rsidR="00A5062F">
        <w:rPr>
          <w:rFonts w:ascii="Bookman Old Style" w:hAnsi="Bookman Old Style" w:cs="Arial"/>
          <w:sz w:val="28"/>
          <w:szCs w:val="28"/>
          <w:lang w:val="el-GR"/>
        </w:rPr>
        <w:t>,</w:t>
      </w:r>
      <w:r>
        <w:rPr>
          <w:rFonts w:ascii="Bookman Old Style" w:hAnsi="Bookman Old Style" w:cs="Arial"/>
          <w:sz w:val="28"/>
          <w:szCs w:val="28"/>
          <w:lang w:val="el-GR"/>
        </w:rPr>
        <w:t xml:space="preserve"> επίσης</w:t>
      </w:r>
      <w:r w:rsidR="00A5062F">
        <w:rPr>
          <w:rFonts w:ascii="Bookman Old Style" w:hAnsi="Bookman Old Style" w:cs="Arial"/>
          <w:sz w:val="28"/>
          <w:szCs w:val="28"/>
          <w:lang w:val="el-GR"/>
        </w:rPr>
        <w:t>,</w:t>
      </w:r>
      <w:r>
        <w:rPr>
          <w:rFonts w:ascii="Bookman Old Style" w:hAnsi="Bookman Old Style" w:cs="Arial"/>
          <w:sz w:val="28"/>
          <w:szCs w:val="28"/>
          <w:lang w:val="el-GR"/>
        </w:rPr>
        <w:t xml:space="preserve"> ότι το πρωτόδικο Δικαστήριο παρέλειψε να αποφασίσει για το κατά πόσο οι Εφεσίβλητοι 1 και 2  τον απέκλεισαν </w:t>
      </w:r>
      <w:r w:rsidR="00A5062F">
        <w:rPr>
          <w:rFonts w:ascii="Bookman Old Style" w:hAnsi="Bookman Old Style" w:cs="Arial"/>
          <w:sz w:val="28"/>
          <w:szCs w:val="28"/>
          <w:lang w:val="el-GR"/>
        </w:rPr>
        <w:t>από το να συμμετάσχει στη διαχείριση της Εταιρείας</w:t>
      </w:r>
      <w:r w:rsidR="006B2C3D">
        <w:rPr>
          <w:rFonts w:ascii="Bookman Old Style" w:hAnsi="Bookman Old Style" w:cs="Arial"/>
          <w:sz w:val="28"/>
          <w:szCs w:val="28"/>
          <w:lang w:val="el-GR"/>
        </w:rPr>
        <w:t>,</w:t>
      </w:r>
      <w:r w:rsidR="00A5062F">
        <w:rPr>
          <w:rFonts w:ascii="Bookman Old Style" w:hAnsi="Bookman Old Style" w:cs="Arial"/>
          <w:sz w:val="28"/>
          <w:szCs w:val="28"/>
          <w:lang w:val="el-GR"/>
        </w:rPr>
        <w:t xml:space="preserve"> καθώς και αν αυτός ο αποκλεισμός έγινε νόμιμα και δικαιολογημένα.</w:t>
      </w:r>
    </w:p>
    <w:p w14:paraId="0C936DE5" w14:textId="77777777" w:rsidR="005F1E72" w:rsidRDefault="005F1E72" w:rsidP="00B74938">
      <w:pPr>
        <w:spacing w:line="480" w:lineRule="auto"/>
        <w:ind w:right="-35"/>
        <w:jc w:val="both"/>
        <w:rPr>
          <w:rFonts w:ascii="Bookman Old Style" w:hAnsi="Bookman Old Style" w:cs="Arial"/>
          <w:sz w:val="28"/>
          <w:szCs w:val="28"/>
          <w:lang w:val="el-GR"/>
        </w:rPr>
      </w:pPr>
    </w:p>
    <w:p w14:paraId="7FEFBC15" w14:textId="3B311A49" w:rsidR="005F1E72" w:rsidRDefault="005F1E72"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Ούτε η πιο πάνω θέση ευσταθεί. Το πρωτόδικο Δικαστήριο εξετάζοντας το σύνολο της ενώπιον του μαρτυρίας και προβαίνοντας στη δέουσα αξιολόγηση, έκρινε ότι στη συνεδρία που είχε λάβει χώρα κατά τον Ιούνιο του 2009 είχε αποφασισθεί ο τερματισμός των υπηρεσιών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για τους λόγους που καταγράφονταν στην επιστολή που του είχε σταλεί, </w:t>
      </w:r>
      <w:r w:rsidRPr="005F1E72">
        <w:rPr>
          <w:rFonts w:ascii="Bookman Old Style" w:hAnsi="Bookman Old Style" w:cs="Arial"/>
          <w:b/>
          <w:bCs/>
          <w:sz w:val="28"/>
          <w:szCs w:val="28"/>
          <w:lang w:val="el-GR"/>
        </w:rPr>
        <w:t>Τεκμήριο 11</w:t>
      </w:r>
      <w:r w:rsidR="00231AB7">
        <w:rPr>
          <w:rFonts w:ascii="Bookman Old Style" w:hAnsi="Bookman Old Style" w:cs="Arial"/>
          <w:sz w:val="28"/>
          <w:szCs w:val="28"/>
          <w:lang w:val="el-GR"/>
        </w:rPr>
        <w:t xml:space="preserve"> </w:t>
      </w:r>
      <w:r w:rsidR="00231AB7" w:rsidRPr="00231AB7">
        <w:rPr>
          <w:rFonts w:ascii="Bookman Old Style" w:hAnsi="Bookman Old Style" w:cs="Arial"/>
          <w:sz w:val="28"/>
          <w:szCs w:val="28"/>
          <w:lang w:val="el-GR"/>
        </w:rPr>
        <w:t>επισημαίνοντας, συγχρόνως, ότι «</w:t>
      </w:r>
      <w:r w:rsidR="00231AB7" w:rsidRPr="00231AB7">
        <w:rPr>
          <w:rFonts w:ascii="Bookman Old Style" w:hAnsi="Bookman Old Style" w:cs="Arial"/>
          <w:i/>
          <w:iCs/>
          <w:sz w:val="28"/>
          <w:szCs w:val="28"/>
          <w:lang w:val="el-GR"/>
        </w:rPr>
        <w:t xml:space="preserve">δεν διαπιστώθηκε όμως σφάλμα στην λήψη της απόφασης για τον τερματισμό των υπηρεσιών του Ενάγοντα. Το αν ο Ενάγοντας διαφωνούσε με την συγκεκριμένη απόφαση </w:t>
      </w:r>
      <w:r w:rsidR="00231AB7" w:rsidRPr="00231AB7">
        <w:rPr>
          <w:rFonts w:ascii="Bookman Old Style" w:hAnsi="Bookman Old Style" w:cs="Arial"/>
          <w:i/>
          <w:iCs/>
          <w:sz w:val="28"/>
          <w:szCs w:val="28"/>
          <w:lang w:val="el-GR"/>
        </w:rPr>
        <w:lastRenderedPageBreak/>
        <w:t>είναι άλλο θέμα</w:t>
      </w:r>
      <w:r w:rsidR="00231AB7" w:rsidRPr="00231AB7">
        <w:rPr>
          <w:rFonts w:ascii="Bookman Old Style" w:hAnsi="Bookman Old Style" w:cs="Arial"/>
          <w:sz w:val="28"/>
          <w:szCs w:val="28"/>
          <w:lang w:val="el-GR"/>
        </w:rPr>
        <w:t>».</w:t>
      </w:r>
      <w:r w:rsidR="00231AB7" w:rsidRPr="00231AB7">
        <w:rPr>
          <w:rFonts w:ascii="Arial" w:hAnsi="Arial" w:cs="Arial"/>
          <w:lang w:val="el-GR"/>
        </w:rPr>
        <w:t xml:space="preserve"> </w:t>
      </w:r>
      <w:r>
        <w:rPr>
          <w:rFonts w:ascii="Bookman Old Style" w:hAnsi="Bookman Old Style" w:cs="Arial"/>
          <w:sz w:val="28"/>
          <w:szCs w:val="28"/>
          <w:lang w:val="el-GR"/>
        </w:rPr>
        <w:t xml:space="preserve">Δεν είχε αποκλεισθεί ο </w:t>
      </w:r>
      <w:proofErr w:type="spellStart"/>
      <w:r>
        <w:rPr>
          <w:rFonts w:ascii="Bookman Old Style" w:hAnsi="Bookman Old Style" w:cs="Arial"/>
          <w:sz w:val="28"/>
          <w:szCs w:val="28"/>
          <w:lang w:val="el-GR"/>
        </w:rPr>
        <w:t>Εφεσεί</w:t>
      </w:r>
      <w:r w:rsidR="00061A82">
        <w:rPr>
          <w:rFonts w:ascii="Bookman Old Style" w:hAnsi="Bookman Old Style" w:cs="Arial"/>
          <w:sz w:val="28"/>
          <w:szCs w:val="28"/>
          <w:lang w:val="el-GR"/>
        </w:rPr>
        <w:t>ων</w:t>
      </w:r>
      <w:proofErr w:type="spellEnd"/>
      <w:r>
        <w:rPr>
          <w:rFonts w:ascii="Bookman Old Style" w:hAnsi="Bookman Old Style" w:cs="Arial"/>
          <w:sz w:val="28"/>
          <w:szCs w:val="28"/>
          <w:lang w:val="el-GR"/>
        </w:rPr>
        <w:t xml:space="preserve"> από την Εταιρεία εφόσον, όπως το πρωτόδικο Δικαστήριο επεσήμανε</w:t>
      </w:r>
      <w:r w:rsidR="00777BB8">
        <w:rPr>
          <w:rFonts w:ascii="Bookman Old Style" w:hAnsi="Bookman Old Style" w:cs="Arial"/>
          <w:sz w:val="28"/>
          <w:szCs w:val="28"/>
          <w:lang w:val="el-GR"/>
        </w:rPr>
        <w:t xml:space="preserve"> και δεν αποτέλεσε αμφισβητούμενο γεγονός</w:t>
      </w:r>
      <w:r>
        <w:rPr>
          <w:rFonts w:ascii="Bookman Old Style" w:hAnsi="Bookman Old Style" w:cs="Arial"/>
          <w:sz w:val="28"/>
          <w:szCs w:val="28"/>
          <w:lang w:val="el-GR"/>
        </w:rPr>
        <w:t>, εξακολουθούσε να παραμένει μέτοχος κατά 25%.</w:t>
      </w:r>
    </w:p>
    <w:p w14:paraId="69C244A7" w14:textId="77777777" w:rsidR="00844951" w:rsidRDefault="00844951" w:rsidP="00B74938">
      <w:pPr>
        <w:spacing w:line="480" w:lineRule="auto"/>
        <w:ind w:right="-35"/>
        <w:jc w:val="both"/>
        <w:rPr>
          <w:rFonts w:ascii="Bookman Old Style" w:hAnsi="Bookman Old Style" w:cs="Arial"/>
          <w:sz w:val="28"/>
          <w:szCs w:val="28"/>
          <w:lang w:val="el-GR"/>
        </w:rPr>
      </w:pPr>
    </w:p>
    <w:p w14:paraId="49D265E8" w14:textId="14FA527A" w:rsidR="00844951" w:rsidRDefault="00844951"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Εν πάση </w:t>
      </w:r>
      <w:proofErr w:type="spellStart"/>
      <w:r>
        <w:rPr>
          <w:rFonts w:ascii="Bookman Old Style" w:hAnsi="Bookman Old Style" w:cs="Arial"/>
          <w:sz w:val="28"/>
          <w:szCs w:val="28"/>
          <w:lang w:val="el-GR"/>
        </w:rPr>
        <w:t>περιπτώσει</w:t>
      </w:r>
      <w:proofErr w:type="spellEnd"/>
      <w:r w:rsidR="00061A82">
        <w:rPr>
          <w:rFonts w:ascii="Bookman Old Style" w:hAnsi="Bookman Old Style" w:cs="Arial"/>
          <w:sz w:val="28"/>
          <w:szCs w:val="28"/>
          <w:lang w:val="el-GR"/>
        </w:rPr>
        <w:t>,</w:t>
      </w:r>
      <w:r>
        <w:rPr>
          <w:rFonts w:ascii="Bookman Old Style" w:hAnsi="Bookman Old Style" w:cs="Arial"/>
          <w:sz w:val="28"/>
          <w:szCs w:val="28"/>
          <w:lang w:val="el-GR"/>
        </w:rPr>
        <w:t xml:space="preserve"> με βάση τα γεγονότα που τέθηκαν ενώπιον του πρωτόδικου Δικαστηρίου συμπεριλαμβανομένης και της μαρτυρίας του ιδίου του </w:t>
      </w:r>
      <w:proofErr w:type="spellStart"/>
      <w:r>
        <w:rPr>
          <w:rFonts w:ascii="Bookman Old Style" w:hAnsi="Bookman Old Style" w:cs="Arial"/>
          <w:sz w:val="28"/>
          <w:szCs w:val="28"/>
          <w:lang w:val="el-GR"/>
        </w:rPr>
        <w:t>Εφεσείοντα</w:t>
      </w:r>
      <w:proofErr w:type="spellEnd"/>
      <w:r w:rsidR="00061A82">
        <w:rPr>
          <w:rFonts w:ascii="Bookman Old Style" w:hAnsi="Bookman Old Style" w:cs="Arial"/>
          <w:sz w:val="28"/>
          <w:szCs w:val="28"/>
          <w:lang w:val="el-GR"/>
        </w:rPr>
        <w:t>,</w:t>
      </w:r>
      <w:r>
        <w:rPr>
          <w:rFonts w:ascii="Bookman Old Style" w:hAnsi="Bookman Old Style" w:cs="Arial"/>
          <w:sz w:val="28"/>
          <w:szCs w:val="28"/>
          <w:lang w:val="el-GR"/>
        </w:rPr>
        <w:t xml:space="preserve"> καθώς και των Τεκμηρίων που κατατέθηκαν, ήτο σαφές ότι όλοι οι διάδικοι ήταν Μέτοχοι και Διοικητικοί Σύμβουλοι της Εταιρείας, ενώ μέχρι τις 29/6/2009</w:t>
      </w:r>
      <w:r w:rsidR="009C1DFF">
        <w:rPr>
          <w:rFonts w:ascii="Bookman Old Style" w:hAnsi="Bookman Old Style" w:cs="Arial"/>
          <w:sz w:val="28"/>
          <w:szCs w:val="28"/>
          <w:lang w:val="el-GR"/>
        </w:rPr>
        <w:t xml:space="preserve"> η επιχείρηση της Εταιρείας </w:t>
      </w:r>
      <w:proofErr w:type="spellStart"/>
      <w:r w:rsidR="009C1DFF">
        <w:rPr>
          <w:rFonts w:ascii="Bookman Old Style" w:hAnsi="Bookman Old Style" w:cs="Arial"/>
          <w:sz w:val="28"/>
          <w:szCs w:val="28"/>
          <w:lang w:val="el-GR"/>
        </w:rPr>
        <w:t>διευθύνετο</w:t>
      </w:r>
      <w:proofErr w:type="spellEnd"/>
      <w:r w:rsidR="009C1DFF">
        <w:rPr>
          <w:rFonts w:ascii="Bookman Old Style" w:hAnsi="Bookman Old Style" w:cs="Arial"/>
          <w:sz w:val="28"/>
          <w:szCs w:val="28"/>
          <w:lang w:val="el-GR"/>
        </w:rPr>
        <w:t xml:space="preserve"> από τον </w:t>
      </w:r>
      <w:proofErr w:type="spellStart"/>
      <w:r w:rsidR="009C1DFF">
        <w:rPr>
          <w:rFonts w:ascii="Bookman Old Style" w:hAnsi="Bookman Old Style" w:cs="Arial"/>
          <w:sz w:val="28"/>
          <w:szCs w:val="28"/>
          <w:lang w:val="el-GR"/>
        </w:rPr>
        <w:t>Εφεσείοντα</w:t>
      </w:r>
      <w:proofErr w:type="spellEnd"/>
      <w:r w:rsidR="009C1DFF">
        <w:rPr>
          <w:rFonts w:ascii="Bookman Old Style" w:hAnsi="Bookman Old Style" w:cs="Arial"/>
          <w:sz w:val="28"/>
          <w:szCs w:val="28"/>
          <w:lang w:val="el-GR"/>
        </w:rPr>
        <w:t xml:space="preserve"> και τον Εφεσίβλητο 2 οι οποίοι πληρώνονταν μισθό από την Εταιρεία για τις υπηρεσίες </w:t>
      </w:r>
      <w:r w:rsidR="00061A82">
        <w:rPr>
          <w:rFonts w:ascii="Bookman Old Style" w:hAnsi="Bookman Old Style" w:cs="Arial"/>
          <w:sz w:val="28"/>
          <w:szCs w:val="28"/>
          <w:lang w:val="el-GR"/>
        </w:rPr>
        <w:t>τους,</w:t>
      </w:r>
      <w:r>
        <w:rPr>
          <w:rFonts w:ascii="Bookman Old Style" w:hAnsi="Bookman Old Style" w:cs="Arial"/>
          <w:sz w:val="28"/>
          <w:szCs w:val="28"/>
          <w:lang w:val="el-GR"/>
        </w:rPr>
        <w:t xml:space="preserve"> </w:t>
      </w:r>
      <w:r w:rsidR="009C1DFF">
        <w:rPr>
          <w:rFonts w:ascii="Bookman Old Style" w:hAnsi="Bookman Old Style" w:cs="Arial"/>
          <w:sz w:val="28"/>
          <w:szCs w:val="28"/>
          <w:lang w:val="el-GR"/>
        </w:rPr>
        <w:t>εφόσον και οι δύο τους</w:t>
      </w:r>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ήσαν</w:t>
      </w:r>
      <w:proofErr w:type="spellEnd"/>
      <w:r>
        <w:rPr>
          <w:rFonts w:ascii="Bookman Old Style" w:hAnsi="Bookman Old Style" w:cs="Arial"/>
          <w:sz w:val="28"/>
          <w:szCs w:val="28"/>
          <w:lang w:val="el-GR"/>
        </w:rPr>
        <w:t xml:space="preserve"> και υπάλληλοι της Εταιρείας και υπεύθυνοι για τη λειτουργία του «</w:t>
      </w:r>
      <w:r>
        <w:rPr>
          <w:rFonts w:ascii="Bookman Old Style" w:hAnsi="Bookman Old Style" w:cs="Arial"/>
          <w:sz w:val="28"/>
          <w:szCs w:val="28"/>
          <w:lang w:val="en-US"/>
        </w:rPr>
        <w:t>Club</w:t>
      </w:r>
      <w:r w:rsidRPr="00FB4E50">
        <w:rPr>
          <w:rFonts w:ascii="Bookman Old Style" w:hAnsi="Bookman Old Style" w:cs="Arial"/>
          <w:sz w:val="28"/>
          <w:szCs w:val="28"/>
          <w:lang w:val="el-GR"/>
        </w:rPr>
        <w:t xml:space="preserve"> </w:t>
      </w:r>
      <w:r>
        <w:rPr>
          <w:rFonts w:ascii="Bookman Old Style" w:hAnsi="Bookman Old Style" w:cs="Arial"/>
          <w:sz w:val="28"/>
          <w:szCs w:val="28"/>
          <w:lang w:val="el-GR"/>
        </w:rPr>
        <w:t>DMC».</w:t>
      </w:r>
      <w:r w:rsidR="00E64FE2">
        <w:rPr>
          <w:rFonts w:ascii="Bookman Old Style" w:hAnsi="Bookman Old Style" w:cs="Arial"/>
          <w:sz w:val="28"/>
          <w:szCs w:val="28"/>
          <w:lang w:val="el-GR"/>
        </w:rPr>
        <w:t xml:space="preserve"> Από τις 29/6/2009, όπως προέκυψε και από το </w:t>
      </w:r>
      <w:r w:rsidR="00E64FE2" w:rsidRPr="00E64FE2">
        <w:rPr>
          <w:rFonts w:ascii="Bookman Old Style" w:hAnsi="Bookman Old Style" w:cs="Arial"/>
          <w:b/>
          <w:bCs/>
          <w:sz w:val="28"/>
          <w:szCs w:val="28"/>
          <w:lang w:val="el-GR"/>
        </w:rPr>
        <w:t>Τεκμήριο 11</w:t>
      </w:r>
      <w:r w:rsidR="00E64FE2">
        <w:rPr>
          <w:rFonts w:ascii="Bookman Old Style" w:hAnsi="Bookman Old Style" w:cs="Arial"/>
          <w:sz w:val="28"/>
          <w:szCs w:val="28"/>
          <w:lang w:val="el-GR"/>
        </w:rPr>
        <w:t xml:space="preserve">, Γενικός Διευθυντής διορίστηκε ο Εφεσίβλητος 2, ενώ οι υπηρεσίες του </w:t>
      </w:r>
      <w:proofErr w:type="spellStart"/>
      <w:r w:rsidR="00E64FE2">
        <w:rPr>
          <w:rFonts w:ascii="Bookman Old Style" w:hAnsi="Bookman Old Style" w:cs="Arial"/>
          <w:sz w:val="28"/>
          <w:szCs w:val="28"/>
          <w:lang w:val="el-GR"/>
        </w:rPr>
        <w:t>Εφεσείοντα</w:t>
      </w:r>
      <w:proofErr w:type="spellEnd"/>
      <w:r w:rsidR="00E64FE2">
        <w:rPr>
          <w:rFonts w:ascii="Bookman Old Style" w:hAnsi="Bookman Old Style" w:cs="Arial"/>
          <w:sz w:val="28"/>
          <w:szCs w:val="28"/>
          <w:lang w:val="el-GR"/>
        </w:rPr>
        <w:t xml:space="preserve"> ως υπαλλήλου της Εταιρείας τερματίσθηκαν.</w:t>
      </w:r>
    </w:p>
    <w:p w14:paraId="1E1E381D" w14:textId="77777777" w:rsidR="00560337" w:rsidRDefault="00560337" w:rsidP="00B74938">
      <w:pPr>
        <w:spacing w:line="480" w:lineRule="auto"/>
        <w:ind w:right="-35"/>
        <w:jc w:val="both"/>
        <w:rPr>
          <w:rFonts w:ascii="Bookman Old Style" w:hAnsi="Bookman Old Style" w:cs="Arial"/>
          <w:sz w:val="28"/>
          <w:szCs w:val="28"/>
          <w:lang w:val="el-GR"/>
        </w:rPr>
      </w:pPr>
    </w:p>
    <w:p w14:paraId="3523EA3D" w14:textId="78425A0C" w:rsidR="00560337" w:rsidRDefault="00560337"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Διατείνεται επίσης, ο </w:t>
      </w:r>
      <w:proofErr w:type="spellStart"/>
      <w:r>
        <w:rPr>
          <w:rFonts w:ascii="Bookman Old Style" w:hAnsi="Bookman Old Style" w:cs="Arial"/>
          <w:sz w:val="28"/>
          <w:szCs w:val="28"/>
          <w:lang w:val="el-GR"/>
        </w:rPr>
        <w:t>Εφεσείων</w:t>
      </w:r>
      <w:proofErr w:type="spellEnd"/>
      <w:r w:rsidR="00D06ED7">
        <w:rPr>
          <w:rFonts w:ascii="Bookman Old Style" w:hAnsi="Bookman Old Style" w:cs="Arial"/>
          <w:sz w:val="28"/>
          <w:szCs w:val="28"/>
          <w:lang w:val="el-GR"/>
        </w:rPr>
        <w:t>,</w:t>
      </w:r>
      <w:r>
        <w:rPr>
          <w:rFonts w:ascii="Bookman Old Style" w:hAnsi="Bookman Old Style" w:cs="Arial"/>
          <w:sz w:val="28"/>
          <w:szCs w:val="28"/>
          <w:lang w:val="el-GR"/>
        </w:rPr>
        <w:t xml:space="preserve"> ότι το πρωτόδικο Δικαστήριο παρέλειψε να αξιολογήσει τα γεγονότα που οδήγησαν στη διάλυση της Εταιρείας, τις σχέσεις των εμπλεκομένων προσώπων και ειδικά τη φιλική σχέση μεταξύ </w:t>
      </w:r>
      <w:r>
        <w:rPr>
          <w:rFonts w:ascii="Bookman Old Style" w:hAnsi="Bookman Old Style" w:cs="Arial"/>
          <w:sz w:val="28"/>
          <w:szCs w:val="28"/>
          <w:lang w:val="el-GR"/>
        </w:rPr>
        <w:lastRenderedPageBreak/>
        <w:t xml:space="preserve">του Εφεσίβλητου 1 και του Διευθυντή της αιτούσας την εκκαθάριση </w:t>
      </w:r>
      <w:bookmarkStart w:id="2" w:name="_Hlk156120195"/>
      <w:r>
        <w:rPr>
          <w:rFonts w:ascii="Bookman Old Style" w:hAnsi="Bookman Old Style" w:cs="Arial"/>
          <w:sz w:val="28"/>
          <w:szCs w:val="28"/>
          <w:lang w:val="el-GR"/>
        </w:rPr>
        <w:t xml:space="preserve">Εταιρείας </w:t>
      </w:r>
      <w:r>
        <w:rPr>
          <w:rFonts w:ascii="Bookman Old Style" w:hAnsi="Bookman Old Style" w:cs="Arial"/>
          <w:sz w:val="28"/>
          <w:szCs w:val="28"/>
          <w:lang w:val="en-US"/>
        </w:rPr>
        <w:t>CAVAWAY</w:t>
      </w:r>
      <w:bookmarkEnd w:id="2"/>
      <w:r w:rsidRPr="00560337">
        <w:rPr>
          <w:rFonts w:ascii="Bookman Old Style" w:hAnsi="Bookman Old Style" w:cs="Arial"/>
          <w:sz w:val="28"/>
          <w:szCs w:val="28"/>
          <w:lang w:val="el-GR"/>
        </w:rPr>
        <w:t>.</w:t>
      </w:r>
    </w:p>
    <w:p w14:paraId="4E3C81FD" w14:textId="77777777" w:rsidR="00560337" w:rsidRDefault="00560337" w:rsidP="00B74938">
      <w:pPr>
        <w:spacing w:line="480" w:lineRule="auto"/>
        <w:ind w:right="-35"/>
        <w:jc w:val="both"/>
        <w:rPr>
          <w:rFonts w:ascii="Bookman Old Style" w:hAnsi="Bookman Old Style" w:cs="Arial"/>
          <w:sz w:val="28"/>
          <w:szCs w:val="28"/>
          <w:lang w:val="el-GR"/>
        </w:rPr>
      </w:pPr>
    </w:p>
    <w:p w14:paraId="6916E9D3" w14:textId="03EB32FA" w:rsidR="00560337" w:rsidRDefault="00560337"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Ούτε η πιο πάνω εισήγηση ευσταθεί. Όπως προέκυψε, προσφέρθηκε μαρτυρία από το Διευθυντή της Εταιρείας </w:t>
      </w:r>
      <w:r>
        <w:rPr>
          <w:rFonts w:ascii="Bookman Old Style" w:hAnsi="Bookman Old Style" w:cs="Arial"/>
          <w:sz w:val="28"/>
          <w:szCs w:val="28"/>
          <w:lang w:val="en-US"/>
        </w:rPr>
        <w:t>CAVAWAY</w:t>
      </w:r>
      <w:r>
        <w:rPr>
          <w:rFonts w:ascii="Bookman Old Style" w:hAnsi="Bookman Old Style" w:cs="Arial"/>
          <w:sz w:val="28"/>
          <w:szCs w:val="28"/>
          <w:lang w:val="el-GR"/>
        </w:rPr>
        <w:t xml:space="preserve"> στο πλαίσιο </w:t>
      </w:r>
      <w:proofErr w:type="spellStart"/>
      <w:r>
        <w:rPr>
          <w:rFonts w:ascii="Bookman Old Style" w:hAnsi="Bookman Old Style" w:cs="Arial"/>
          <w:sz w:val="28"/>
          <w:szCs w:val="28"/>
          <w:lang w:val="el-GR"/>
        </w:rPr>
        <w:t>αντεξέτασης</w:t>
      </w:r>
      <w:proofErr w:type="spellEnd"/>
      <w:r>
        <w:rPr>
          <w:rFonts w:ascii="Bookman Old Style" w:hAnsi="Bookman Old Style" w:cs="Arial"/>
          <w:sz w:val="28"/>
          <w:szCs w:val="28"/>
          <w:lang w:val="el-GR"/>
        </w:rPr>
        <w:t xml:space="preserve"> του επί εξ ακοής μαρτυρίας που αφορούσε συνομιλία του ιδίου με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Το πρωτόδικο Δικαστήριο</w:t>
      </w:r>
      <w:r w:rsidR="008915D0">
        <w:rPr>
          <w:rFonts w:ascii="Bookman Old Style" w:hAnsi="Bookman Old Style" w:cs="Arial"/>
          <w:sz w:val="28"/>
          <w:szCs w:val="28"/>
          <w:lang w:val="el-GR"/>
        </w:rPr>
        <w:t>,</w:t>
      </w:r>
      <w:r>
        <w:rPr>
          <w:rFonts w:ascii="Bookman Old Style" w:hAnsi="Bookman Old Style" w:cs="Arial"/>
          <w:sz w:val="28"/>
          <w:szCs w:val="28"/>
          <w:lang w:val="el-GR"/>
        </w:rPr>
        <w:t xml:space="preserve"> αξιολογώντας την εν λόγω μαρτυρία</w:t>
      </w:r>
      <w:r w:rsidR="008915D0">
        <w:rPr>
          <w:rFonts w:ascii="Bookman Old Style" w:hAnsi="Bookman Old Style" w:cs="Arial"/>
          <w:sz w:val="28"/>
          <w:szCs w:val="28"/>
          <w:lang w:val="el-GR"/>
        </w:rPr>
        <w:t>,</w:t>
      </w:r>
      <w:r>
        <w:rPr>
          <w:rFonts w:ascii="Bookman Old Style" w:hAnsi="Bookman Old Style" w:cs="Arial"/>
          <w:sz w:val="28"/>
          <w:szCs w:val="28"/>
          <w:lang w:val="el-GR"/>
        </w:rPr>
        <w:t xml:space="preserve"> κατέληξε ότι αυτός είχε ανατρέψει </w:t>
      </w:r>
      <w:r w:rsidR="008915D0">
        <w:rPr>
          <w:rFonts w:ascii="Bookman Old Style" w:hAnsi="Bookman Old Style" w:cs="Arial"/>
          <w:sz w:val="28"/>
          <w:szCs w:val="28"/>
          <w:lang w:val="el-GR"/>
        </w:rPr>
        <w:t>«</w:t>
      </w:r>
      <w:r w:rsidRPr="008915D0">
        <w:rPr>
          <w:rFonts w:ascii="Bookman Old Style" w:hAnsi="Bookman Old Style" w:cs="Arial"/>
          <w:i/>
          <w:iCs/>
          <w:sz w:val="28"/>
          <w:szCs w:val="28"/>
          <w:lang w:val="el-GR"/>
        </w:rPr>
        <w:t>άρδην</w:t>
      </w:r>
      <w:r w:rsidR="008915D0">
        <w:rPr>
          <w:rFonts w:ascii="Bookman Old Style" w:hAnsi="Bookman Old Style" w:cs="Arial"/>
          <w:sz w:val="28"/>
          <w:szCs w:val="28"/>
          <w:lang w:val="el-GR"/>
        </w:rPr>
        <w:t>»</w:t>
      </w:r>
      <w:r>
        <w:rPr>
          <w:rFonts w:ascii="Bookman Old Style" w:hAnsi="Bookman Old Style" w:cs="Arial"/>
          <w:sz w:val="28"/>
          <w:szCs w:val="28"/>
          <w:lang w:val="el-GR"/>
        </w:rPr>
        <w:t xml:space="preserve"> τους ισχυρισμούς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w:t>
      </w:r>
      <w:r w:rsidRPr="008915D0">
        <w:rPr>
          <w:rFonts w:ascii="Bookman Old Style" w:hAnsi="Bookman Old Style" w:cs="Arial"/>
          <w:sz w:val="28"/>
          <w:szCs w:val="28"/>
          <w:lang w:val="el-GR"/>
        </w:rPr>
        <w:t>«</w:t>
      </w:r>
      <w:r w:rsidRPr="008915D0">
        <w:rPr>
          <w:rFonts w:ascii="Bookman Old Style" w:hAnsi="Bookman Old Style" w:cs="Arial"/>
          <w:i/>
          <w:iCs/>
          <w:sz w:val="28"/>
          <w:szCs w:val="28"/>
          <w:lang w:val="el-GR"/>
        </w:rPr>
        <w:t xml:space="preserve">δηλαδή, ότι ο Ενάγοντας δεν γνώριζε ή και ότι δεν ειδοποιήθηκε για το χρέος της Εταιρείας προς την εταιρεία </w:t>
      </w:r>
      <w:r w:rsidRPr="008915D0">
        <w:rPr>
          <w:rFonts w:ascii="Bookman Old Style" w:hAnsi="Bookman Old Style" w:cs="Arial"/>
          <w:i/>
          <w:iCs/>
          <w:sz w:val="28"/>
          <w:szCs w:val="28"/>
        </w:rPr>
        <w:t>CAVAWAY</w:t>
      </w:r>
      <w:r w:rsidRPr="008915D0">
        <w:rPr>
          <w:rFonts w:ascii="Bookman Old Style" w:hAnsi="Bookman Old Style" w:cs="Arial"/>
          <w:i/>
          <w:iCs/>
          <w:sz w:val="28"/>
          <w:szCs w:val="28"/>
          <w:lang w:val="el-GR"/>
        </w:rPr>
        <w:t xml:space="preserve"> και ότι ήταν μια οργανωμένη προσπάθεια από τον Εναγόμενο 1 για να κλείσει η Εταιρεία</w:t>
      </w:r>
      <w:r w:rsidR="008915D0" w:rsidRPr="008915D0">
        <w:rPr>
          <w:rFonts w:ascii="Bookman Old Style" w:hAnsi="Bookman Old Style" w:cs="Arial"/>
          <w:sz w:val="28"/>
          <w:szCs w:val="28"/>
          <w:lang w:val="el-GR"/>
        </w:rPr>
        <w:t>»</w:t>
      </w:r>
      <w:r w:rsidRPr="008915D0">
        <w:rPr>
          <w:rFonts w:ascii="Bookman Old Style" w:hAnsi="Bookman Old Style" w:cs="Arial"/>
          <w:sz w:val="28"/>
          <w:szCs w:val="28"/>
          <w:lang w:val="el-GR"/>
        </w:rPr>
        <w:t>.</w:t>
      </w:r>
    </w:p>
    <w:p w14:paraId="05BD3081" w14:textId="77777777" w:rsidR="00A00021" w:rsidRDefault="00A00021" w:rsidP="00B74938">
      <w:pPr>
        <w:spacing w:line="480" w:lineRule="auto"/>
        <w:ind w:right="-35"/>
        <w:jc w:val="both"/>
        <w:rPr>
          <w:rFonts w:ascii="Bookman Old Style" w:hAnsi="Bookman Old Style" w:cs="Arial"/>
          <w:sz w:val="28"/>
          <w:szCs w:val="28"/>
          <w:lang w:val="el-GR"/>
        </w:rPr>
      </w:pPr>
    </w:p>
    <w:p w14:paraId="41E79D0E" w14:textId="2973D9E8" w:rsidR="008915D0" w:rsidRDefault="008915D0"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Επιπλέον</w:t>
      </w:r>
      <w:r w:rsidR="00061A82">
        <w:rPr>
          <w:rFonts w:ascii="Bookman Old Style" w:hAnsi="Bookman Old Style" w:cs="Arial"/>
          <w:sz w:val="28"/>
          <w:szCs w:val="28"/>
          <w:lang w:val="el-GR"/>
        </w:rPr>
        <w:t>,</w:t>
      </w:r>
      <w:r>
        <w:rPr>
          <w:rFonts w:ascii="Bookman Old Style" w:hAnsi="Bookman Old Style" w:cs="Arial"/>
          <w:sz w:val="28"/>
          <w:szCs w:val="28"/>
          <w:lang w:val="el-GR"/>
        </w:rPr>
        <w:t xml:space="preserve"> όπως προκύπτει από την </w:t>
      </w:r>
      <w:proofErr w:type="spellStart"/>
      <w:r>
        <w:rPr>
          <w:rFonts w:ascii="Bookman Old Style" w:hAnsi="Bookman Old Style" w:cs="Arial"/>
          <w:sz w:val="28"/>
          <w:szCs w:val="28"/>
          <w:lang w:val="el-GR"/>
        </w:rPr>
        <w:t>αντεξέταση</w:t>
      </w:r>
      <w:proofErr w:type="spellEnd"/>
      <w:r>
        <w:rPr>
          <w:rFonts w:ascii="Bookman Old Style" w:hAnsi="Bookman Old Style" w:cs="Arial"/>
          <w:sz w:val="28"/>
          <w:szCs w:val="28"/>
          <w:lang w:val="el-GR"/>
        </w:rPr>
        <w:t xml:space="preserve"> του εν λόγω μάρτυρα, αυτός είχε καλέσει επανειλημμένα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για να βρο</w:t>
      </w:r>
      <w:r w:rsidR="00061A82">
        <w:rPr>
          <w:rFonts w:ascii="Bookman Old Style" w:hAnsi="Bookman Old Style" w:cs="Arial"/>
          <w:sz w:val="28"/>
          <w:szCs w:val="28"/>
          <w:lang w:val="el-GR"/>
        </w:rPr>
        <w:t>υ</w:t>
      </w:r>
      <w:r>
        <w:rPr>
          <w:rFonts w:ascii="Bookman Old Style" w:hAnsi="Bookman Old Style" w:cs="Arial"/>
          <w:sz w:val="28"/>
          <w:szCs w:val="28"/>
          <w:lang w:val="el-GR"/>
        </w:rPr>
        <w:t xml:space="preserve">ν μια λύση αναφορικά με το χρέος που οδήγησε στη διάλυση της Εταιρείας, πλην, όμως,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δεν ανταποκρινόταν.</w:t>
      </w:r>
    </w:p>
    <w:p w14:paraId="29492CFE" w14:textId="77777777" w:rsidR="00E64348" w:rsidRDefault="00E64348" w:rsidP="00B74938">
      <w:pPr>
        <w:spacing w:line="480" w:lineRule="auto"/>
        <w:ind w:right="-35"/>
        <w:jc w:val="both"/>
        <w:rPr>
          <w:rFonts w:ascii="Bookman Old Style" w:hAnsi="Bookman Old Style" w:cs="Arial"/>
          <w:sz w:val="28"/>
          <w:szCs w:val="28"/>
          <w:lang w:val="el-GR"/>
        </w:rPr>
      </w:pPr>
    </w:p>
    <w:p w14:paraId="0846F4BB" w14:textId="5AC12A7B" w:rsidR="002A5B7A" w:rsidRDefault="00E64348"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2</w:t>
      </w:r>
      <w:r w:rsidRPr="008A558E">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ισχυρίζεται ότι το πρωτόδικο Δικαστήριο λανθασμένα </w:t>
      </w:r>
      <w:proofErr w:type="spellStart"/>
      <w:r>
        <w:rPr>
          <w:rFonts w:ascii="Bookman Old Style" w:hAnsi="Bookman Old Style" w:cs="Arial"/>
          <w:sz w:val="28"/>
          <w:szCs w:val="28"/>
          <w:lang w:val="el-GR"/>
        </w:rPr>
        <w:t>απεφάνθη</w:t>
      </w:r>
      <w:proofErr w:type="spellEnd"/>
      <w:r>
        <w:rPr>
          <w:rFonts w:ascii="Bookman Old Style" w:hAnsi="Bookman Old Style" w:cs="Arial"/>
          <w:sz w:val="28"/>
          <w:szCs w:val="28"/>
          <w:lang w:val="el-GR"/>
        </w:rPr>
        <w:t xml:space="preserve"> ότι δεν απεδείχθη η δόλια συμπεριφορά των </w:t>
      </w:r>
      <w:proofErr w:type="spellStart"/>
      <w:r>
        <w:rPr>
          <w:rFonts w:ascii="Bookman Old Style" w:hAnsi="Bookman Old Style" w:cs="Arial"/>
          <w:sz w:val="28"/>
          <w:szCs w:val="28"/>
          <w:lang w:val="el-GR"/>
        </w:rPr>
        <w:t>Εναγομένων</w:t>
      </w:r>
      <w:proofErr w:type="spellEnd"/>
      <w:r>
        <w:rPr>
          <w:rFonts w:ascii="Bookman Old Style" w:hAnsi="Bookman Old Style" w:cs="Arial"/>
          <w:sz w:val="28"/>
          <w:szCs w:val="28"/>
          <w:lang w:val="el-GR"/>
        </w:rPr>
        <w:t xml:space="preserve"> έναντι του Ενάγοντα</w:t>
      </w:r>
      <w:r w:rsidR="00061A82">
        <w:rPr>
          <w:rFonts w:ascii="Bookman Old Style" w:hAnsi="Bookman Old Style" w:cs="Arial"/>
          <w:sz w:val="28"/>
          <w:szCs w:val="28"/>
          <w:lang w:val="el-GR"/>
        </w:rPr>
        <w:t>,</w:t>
      </w:r>
      <w:r w:rsidR="00BB6240">
        <w:rPr>
          <w:rFonts w:ascii="Bookman Old Style" w:hAnsi="Bookman Old Style" w:cs="Arial"/>
          <w:sz w:val="28"/>
          <w:szCs w:val="28"/>
          <w:lang w:val="el-GR"/>
        </w:rPr>
        <w:t xml:space="preserve"> ενώ μ</w:t>
      </w:r>
      <w:r w:rsidR="002A5B7A">
        <w:rPr>
          <w:rFonts w:ascii="Bookman Old Style" w:hAnsi="Bookman Old Style" w:cs="Arial"/>
          <w:sz w:val="28"/>
          <w:szCs w:val="28"/>
          <w:lang w:val="el-GR"/>
        </w:rPr>
        <w:t xml:space="preserve">έσω του </w:t>
      </w:r>
      <w:r w:rsidR="002A5B7A">
        <w:rPr>
          <w:rFonts w:ascii="Bookman Old Style" w:hAnsi="Bookman Old Style" w:cs="Arial"/>
          <w:b/>
          <w:bCs/>
          <w:sz w:val="28"/>
          <w:szCs w:val="28"/>
          <w:lang w:val="el-GR"/>
        </w:rPr>
        <w:t>3</w:t>
      </w:r>
      <w:r w:rsidR="002A5B7A" w:rsidRPr="008A558E">
        <w:rPr>
          <w:rFonts w:ascii="Bookman Old Style" w:hAnsi="Bookman Old Style" w:cs="Arial"/>
          <w:b/>
          <w:bCs/>
          <w:sz w:val="28"/>
          <w:szCs w:val="28"/>
          <w:vertAlign w:val="superscript"/>
          <w:lang w:val="el-GR"/>
        </w:rPr>
        <w:t>ο</w:t>
      </w:r>
      <w:r w:rsidR="002A5B7A">
        <w:rPr>
          <w:rFonts w:ascii="Bookman Old Style" w:hAnsi="Bookman Old Style" w:cs="Arial"/>
          <w:b/>
          <w:bCs/>
          <w:sz w:val="28"/>
          <w:szCs w:val="28"/>
          <w:vertAlign w:val="superscript"/>
          <w:lang w:val="el-GR"/>
        </w:rPr>
        <w:t>υ</w:t>
      </w:r>
      <w:r w:rsidR="002A5B7A">
        <w:rPr>
          <w:rFonts w:ascii="Bookman Old Style" w:hAnsi="Bookman Old Style" w:cs="Arial"/>
          <w:b/>
          <w:bCs/>
          <w:sz w:val="28"/>
          <w:szCs w:val="28"/>
          <w:lang w:val="el-GR"/>
        </w:rPr>
        <w:t xml:space="preserve"> Λόγου Έφεσης</w:t>
      </w:r>
      <w:r w:rsidR="002A5B7A">
        <w:rPr>
          <w:rFonts w:ascii="Bookman Old Style" w:hAnsi="Bookman Old Style" w:cs="Arial"/>
          <w:sz w:val="28"/>
          <w:szCs w:val="28"/>
          <w:lang w:val="el-GR"/>
        </w:rPr>
        <w:t xml:space="preserve"> προσβάλλεται ως ακροσφαλής η απόρριψη από το πρωτόδικο Δικαστήριο </w:t>
      </w:r>
      <w:r w:rsidR="002A5B7A">
        <w:rPr>
          <w:rFonts w:ascii="Bookman Old Style" w:hAnsi="Bookman Old Style" w:cs="Arial"/>
          <w:sz w:val="28"/>
          <w:szCs w:val="28"/>
          <w:lang w:val="el-GR"/>
        </w:rPr>
        <w:lastRenderedPageBreak/>
        <w:t>της θέσης του Ενάγοντα ότι παράλληλα και σε συνάρτηση με την επίδικη Συμφωνία</w:t>
      </w:r>
      <w:r w:rsidR="00775A8F">
        <w:rPr>
          <w:rFonts w:ascii="Bookman Old Style" w:hAnsi="Bookman Old Style" w:cs="Arial"/>
          <w:sz w:val="28"/>
          <w:szCs w:val="28"/>
          <w:lang w:val="el-GR"/>
        </w:rPr>
        <w:t xml:space="preserve"> Πώλησης Επιχείρ</w:t>
      </w:r>
      <w:r w:rsidR="00061A82">
        <w:rPr>
          <w:rFonts w:ascii="Bookman Old Style" w:hAnsi="Bookman Old Style" w:cs="Arial"/>
          <w:sz w:val="28"/>
          <w:szCs w:val="28"/>
          <w:lang w:val="el-GR"/>
        </w:rPr>
        <w:t>η</w:t>
      </w:r>
      <w:r w:rsidR="00775A8F">
        <w:rPr>
          <w:rFonts w:ascii="Bookman Old Style" w:hAnsi="Bookman Old Style" w:cs="Arial"/>
          <w:sz w:val="28"/>
          <w:szCs w:val="28"/>
          <w:lang w:val="el-GR"/>
        </w:rPr>
        <w:t xml:space="preserve">σης </w:t>
      </w:r>
      <w:r w:rsidR="002A5B7A">
        <w:rPr>
          <w:rFonts w:ascii="Bookman Old Style" w:hAnsi="Bookman Old Style" w:cs="Arial"/>
          <w:sz w:val="28"/>
          <w:szCs w:val="28"/>
          <w:lang w:val="el-GR"/>
        </w:rPr>
        <w:t>(</w:t>
      </w:r>
      <w:r w:rsidR="002A5B7A" w:rsidRPr="007A25C1">
        <w:rPr>
          <w:rFonts w:ascii="Bookman Old Style" w:hAnsi="Bookman Old Style" w:cs="Arial"/>
          <w:b/>
          <w:bCs/>
          <w:sz w:val="28"/>
          <w:szCs w:val="28"/>
          <w:lang w:val="el-GR"/>
        </w:rPr>
        <w:t>Τεκμήριο 7</w:t>
      </w:r>
      <w:r w:rsidR="002A5B7A">
        <w:rPr>
          <w:rFonts w:ascii="Bookman Old Style" w:hAnsi="Bookman Old Style" w:cs="Arial"/>
          <w:sz w:val="28"/>
          <w:szCs w:val="28"/>
          <w:lang w:val="el-GR"/>
        </w:rPr>
        <w:t xml:space="preserve">), συμφωνήθηκε μεταξύ των διαδίκων ένας σωστός και λειτουργικός τρόπος οργάνωσης και διαχείρισης της Εταιρείας στη βάση </w:t>
      </w:r>
      <w:r w:rsidR="002A5B7A" w:rsidRPr="002A5B7A">
        <w:rPr>
          <w:rFonts w:ascii="Bookman Old Style" w:hAnsi="Bookman Old Style" w:cs="Arial"/>
          <w:b/>
          <w:bCs/>
          <w:sz w:val="28"/>
          <w:szCs w:val="28"/>
          <w:lang w:val="el-GR"/>
        </w:rPr>
        <w:t xml:space="preserve">προφορικής </w:t>
      </w:r>
      <w:r w:rsidR="002A5B7A">
        <w:rPr>
          <w:rFonts w:ascii="Bookman Old Style" w:hAnsi="Bookman Old Style" w:cs="Arial"/>
          <w:sz w:val="28"/>
          <w:szCs w:val="28"/>
          <w:lang w:val="el-GR"/>
        </w:rPr>
        <w:t>συμφωνίας μετόχων (</w:t>
      </w:r>
      <w:r w:rsidR="002A5B7A" w:rsidRPr="007A25C1">
        <w:rPr>
          <w:rFonts w:ascii="Bookman Old Style" w:hAnsi="Bookman Old Style" w:cs="Arial"/>
          <w:i/>
          <w:iCs/>
          <w:sz w:val="28"/>
          <w:szCs w:val="28"/>
          <w:lang w:val="en-US"/>
        </w:rPr>
        <w:t>shareholder</w:t>
      </w:r>
      <w:r w:rsidR="002A5B7A" w:rsidRPr="007A25C1">
        <w:rPr>
          <w:rFonts w:ascii="Bookman Old Style" w:hAnsi="Bookman Old Style" w:cs="Arial"/>
          <w:i/>
          <w:iCs/>
          <w:sz w:val="28"/>
          <w:szCs w:val="28"/>
          <w:lang w:val="el-GR"/>
        </w:rPr>
        <w:t xml:space="preserve">’s </w:t>
      </w:r>
      <w:proofErr w:type="spellStart"/>
      <w:r w:rsidR="002A5B7A" w:rsidRPr="007A25C1">
        <w:rPr>
          <w:rFonts w:ascii="Bookman Old Style" w:hAnsi="Bookman Old Style" w:cs="Arial"/>
          <w:i/>
          <w:iCs/>
          <w:sz w:val="28"/>
          <w:szCs w:val="28"/>
          <w:lang w:val="el-GR"/>
        </w:rPr>
        <w:t>agreement</w:t>
      </w:r>
      <w:proofErr w:type="spellEnd"/>
      <w:r w:rsidR="002A5B7A">
        <w:rPr>
          <w:rFonts w:ascii="Bookman Old Style" w:hAnsi="Bookman Old Style" w:cs="Arial"/>
          <w:sz w:val="28"/>
          <w:szCs w:val="28"/>
          <w:lang w:val="el-GR"/>
        </w:rPr>
        <w:t>).</w:t>
      </w:r>
    </w:p>
    <w:p w14:paraId="07B85731" w14:textId="77777777" w:rsidR="002A5B7A" w:rsidRDefault="002A5B7A" w:rsidP="00B74938">
      <w:pPr>
        <w:spacing w:line="480" w:lineRule="auto"/>
        <w:ind w:right="-35"/>
        <w:jc w:val="both"/>
        <w:rPr>
          <w:rFonts w:ascii="Bookman Old Style" w:hAnsi="Bookman Old Style" w:cs="Arial"/>
          <w:sz w:val="28"/>
          <w:szCs w:val="28"/>
          <w:lang w:val="el-GR"/>
        </w:rPr>
      </w:pPr>
    </w:p>
    <w:p w14:paraId="03616E84" w14:textId="2C120213" w:rsidR="007D695E" w:rsidRDefault="002A5B7A"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Ένα από τα κύρια σημεία της μαρτυρίας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αποτέλεσε η θέση ότι </w:t>
      </w:r>
      <w:r w:rsidR="00452A12">
        <w:rPr>
          <w:rFonts w:ascii="Bookman Old Style" w:hAnsi="Bookman Old Style" w:cs="Arial"/>
          <w:sz w:val="28"/>
          <w:szCs w:val="28"/>
          <w:lang w:val="el-GR"/>
        </w:rPr>
        <w:t xml:space="preserve">είχε συμφωνηθεί προφορικά ότι η διαχείριση και ο τρόπος λειτουργίας της Εταιρείας θα ήταν υπό τον αποκλειστικό έλεγχο και ευθύνη του </w:t>
      </w:r>
      <w:proofErr w:type="spellStart"/>
      <w:r w:rsidR="00452A12">
        <w:rPr>
          <w:rFonts w:ascii="Bookman Old Style" w:hAnsi="Bookman Old Style" w:cs="Arial"/>
          <w:sz w:val="28"/>
          <w:szCs w:val="28"/>
          <w:lang w:val="el-GR"/>
        </w:rPr>
        <w:t>Εφεσείοντα</w:t>
      </w:r>
      <w:proofErr w:type="spellEnd"/>
      <w:r w:rsidR="00452A12">
        <w:rPr>
          <w:rFonts w:ascii="Bookman Old Style" w:hAnsi="Bookman Old Style" w:cs="Arial"/>
          <w:sz w:val="28"/>
          <w:szCs w:val="28"/>
          <w:lang w:val="el-GR"/>
        </w:rPr>
        <w:t xml:space="preserve"> και του Εφεσίβλητου 2, οι οποίοι θα αμείβονταν για τις υπηρεσίες τους και ότι υπήρξαν συγκεκριμένες δεσμεύσεις από μέρους του Εφεσίβλητου 1 ότι θα βοηθούσε και ο ίδιος στην ανάπτυξη της </w:t>
      </w:r>
      <w:r w:rsidR="007D695E">
        <w:rPr>
          <w:rFonts w:ascii="Bookman Old Style" w:hAnsi="Bookman Old Style" w:cs="Arial"/>
          <w:sz w:val="28"/>
          <w:szCs w:val="28"/>
          <w:lang w:val="el-GR"/>
        </w:rPr>
        <w:t>επιχείρησης</w:t>
      </w:r>
      <w:r w:rsidR="00452A12">
        <w:rPr>
          <w:rFonts w:ascii="Bookman Old Style" w:hAnsi="Bookman Old Style" w:cs="Arial"/>
          <w:sz w:val="28"/>
          <w:szCs w:val="28"/>
          <w:lang w:val="el-GR"/>
        </w:rPr>
        <w:t>.</w:t>
      </w:r>
    </w:p>
    <w:p w14:paraId="6F20C34C" w14:textId="77777777" w:rsidR="007D695E" w:rsidRDefault="007D695E" w:rsidP="00B74938">
      <w:pPr>
        <w:spacing w:line="480" w:lineRule="auto"/>
        <w:ind w:right="-35"/>
        <w:jc w:val="both"/>
        <w:rPr>
          <w:rFonts w:ascii="Bookman Old Style" w:hAnsi="Bookman Old Style" w:cs="Arial"/>
          <w:sz w:val="28"/>
          <w:szCs w:val="28"/>
          <w:lang w:val="el-GR"/>
        </w:rPr>
      </w:pPr>
    </w:p>
    <w:p w14:paraId="7D0CB70C" w14:textId="3F878846" w:rsidR="002A5B7A" w:rsidRDefault="007D695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Έχουμε ήδη πιο πάνω και στο πλαίσιο εξέτασης του </w:t>
      </w:r>
      <w:r w:rsidRPr="007D695E">
        <w:rPr>
          <w:rFonts w:ascii="Bookman Old Style" w:hAnsi="Bookman Old Style" w:cs="Arial"/>
          <w:b/>
          <w:bCs/>
          <w:sz w:val="28"/>
          <w:szCs w:val="28"/>
          <w:lang w:val="el-GR"/>
        </w:rPr>
        <w:t>1</w:t>
      </w:r>
      <w:r w:rsidRPr="007D695E">
        <w:rPr>
          <w:rFonts w:ascii="Bookman Old Style" w:hAnsi="Bookman Old Style" w:cs="Arial"/>
          <w:b/>
          <w:bCs/>
          <w:sz w:val="28"/>
          <w:szCs w:val="28"/>
          <w:vertAlign w:val="superscript"/>
          <w:lang w:val="el-GR"/>
        </w:rPr>
        <w:t>ου</w:t>
      </w:r>
      <w:r w:rsidRPr="007D695E">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εξετάσει το εν λόγω ζήτημα</w:t>
      </w:r>
      <w:r w:rsidR="00061A82">
        <w:rPr>
          <w:rFonts w:ascii="Bookman Old Style" w:hAnsi="Bookman Old Style" w:cs="Arial"/>
          <w:sz w:val="28"/>
          <w:szCs w:val="28"/>
          <w:lang w:val="el-GR"/>
        </w:rPr>
        <w:t>,</w:t>
      </w:r>
      <w:r>
        <w:rPr>
          <w:rFonts w:ascii="Bookman Old Style" w:hAnsi="Bookman Old Style" w:cs="Arial"/>
          <w:sz w:val="28"/>
          <w:szCs w:val="28"/>
          <w:lang w:val="el-GR"/>
        </w:rPr>
        <w:t xml:space="preserve"> με αναφορά και στον τρόπο που η σχετική μαρτυρία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αξιολογήθηκε από το πρωτόδικο Δικαστήριο.</w:t>
      </w:r>
      <w:r w:rsidR="00452A12">
        <w:rPr>
          <w:rFonts w:ascii="Bookman Old Style" w:hAnsi="Bookman Old Style" w:cs="Arial"/>
          <w:sz w:val="28"/>
          <w:szCs w:val="28"/>
          <w:lang w:val="el-GR"/>
        </w:rPr>
        <w:t xml:space="preserve">  </w:t>
      </w:r>
    </w:p>
    <w:p w14:paraId="50DE2E81" w14:textId="77777777" w:rsidR="007D695E" w:rsidRDefault="007D695E" w:rsidP="00B74938">
      <w:pPr>
        <w:spacing w:line="480" w:lineRule="auto"/>
        <w:ind w:right="-35"/>
        <w:jc w:val="both"/>
        <w:rPr>
          <w:rFonts w:ascii="Bookman Old Style" w:hAnsi="Bookman Old Style" w:cs="Arial"/>
          <w:sz w:val="28"/>
          <w:szCs w:val="28"/>
          <w:lang w:val="el-GR"/>
        </w:rPr>
      </w:pPr>
    </w:p>
    <w:p w14:paraId="1816FC68" w14:textId="3A782E71" w:rsidR="007D695E" w:rsidRDefault="007D695E" w:rsidP="00B74938">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δεδομένο ότι η μαρτυρία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κρίθηκε, για τους λόγους που το πρωτόδικο Δικαστήριο κατέγραψε στην Απόφαση του, ως αναξιόπιστη, το ότι δεν είχε προσφερθεί ενώπιον του πρωτόδικου Δικαστηρίου μαρτυρία </w:t>
      </w:r>
      <w:r>
        <w:rPr>
          <w:rFonts w:ascii="Bookman Old Style" w:hAnsi="Bookman Old Style" w:cs="Arial"/>
          <w:sz w:val="28"/>
          <w:szCs w:val="28"/>
          <w:lang w:val="el-GR"/>
        </w:rPr>
        <w:lastRenderedPageBreak/>
        <w:t xml:space="preserve">από μέρους των </w:t>
      </w:r>
      <w:proofErr w:type="spellStart"/>
      <w:r>
        <w:rPr>
          <w:rFonts w:ascii="Bookman Old Style" w:hAnsi="Bookman Old Style" w:cs="Arial"/>
          <w:sz w:val="28"/>
          <w:szCs w:val="28"/>
          <w:lang w:val="el-GR"/>
        </w:rPr>
        <w:t>Εφεσιβλήτων</w:t>
      </w:r>
      <w:proofErr w:type="spellEnd"/>
      <w:r>
        <w:rPr>
          <w:rFonts w:ascii="Bookman Old Style" w:hAnsi="Bookman Old Style" w:cs="Arial"/>
          <w:sz w:val="28"/>
          <w:szCs w:val="28"/>
          <w:lang w:val="el-GR"/>
        </w:rPr>
        <w:t xml:space="preserve"> ουδεμία σημασία μπορούσε να έχει.</w:t>
      </w:r>
      <w:r w:rsidR="008A02DD">
        <w:rPr>
          <w:rFonts w:ascii="Bookman Old Style" w:hAnsi="Bookman Old Style" w:cs="Arial"/>
          <w:sz w:val="28"/>
          <w:szCs w:val="28"/>
          <w:lang w:val="el-GR"/>
        </w:rPr>
        <w:t xml:space="preserve"> Ή για να το θέσουμε διαφορετικά, τ</w:t>
      </w:r>
      <w:r w:rsidR="008A02DD">
        <w:rPr>
          <w:rFonts w:ascii="Bookman Old Style" w:hAnsi="Bookman Old Style"/>
          <w:sz w:val="28"/>
          <w:szCs w:val="28"/>
          <w:lang w:val="el-GR"/>
        </w:rPr>
        <w:t xml:space="preserve">ο γεγονός ότι η μαρτυρία του </w:t>
      </w:r>
      <w:proofErr w:type="spellStart"/>
      <w:r w:rsidR="008A02DD">
        <w:rPr>
          <w:rFonts w:ascii="Bookman Old Style" w:hAnsi="Bookman Old Style"/>
          <w:sz w:val="28"/>
          <w:szCs w:val="28"/>
          <w:lang w:val="el-GR"/>
        </w:rPr>
        <w:t>Εφεσείοντα</w:t>
      </w:r>
      <w:proofErr w:type="spellEnd"/>
      <w:r w:rsidR="00D06ED7">
        <w:rPr>
          <w:rFonts w:ascii="Bookman Old Style" w:hAnsi="Bookman Old Style"/>
          <w:sz w:val="28"/>
          <w:szCs w:val="28"/>
          <w:lang w:val="el-GR"/>
        </w:rPr>
        <w:t>,</w:t>
      </w:r>
      <w:r w:rsidR="008A02DD">
        <w:rPr>
          <w:rFonts w:ascii="Bookman Old Style" w:hAnsi="Bookman Old Style"/>
          <w:sz w:val="28"/>
          <w:szCs w:val="28"/>
          <w:lang w:val="el-GR"/>
        </w:rPr>
        <w:t xml:space="preserve"> </w:t>
      </w:r>
      <w:r w:rsidR="00D06ED7">
        <w:rPr>
          <w:rFonts w:ascii="Bookman Old Style" w:hAnsi="Bookman Old Style"/>
          <w:sz w:val="28"/>
          <w:szCs w:val="28"/>
          <w:lang w:val="el-GR"/>
        </w:rPr>
        <w:t xml:space="preserve">ο οποίος έφερε και το βάρος απόδειξης, </w:t>
      </w:r>
      <w:r w:rsidR="008A02DD">
        <w:rPr>
          <w:rFonts w:ascii="Bookman Old Style" w:hAnsi="Bookman Old Style"/>
          <w:sz w:val="28"/>
          <w:szCs w:val="28"/>
          <w:lang w:val="el-GR"/>
        </w:rPr>
        <w:t xml:space="preserve">κρίθηκε αναξιόπιστη, αυτό αναπόδραστα οδήγησε και στην απόρριψη της απαίτησης του, αφού δεν θεμελιώθηκαν με ικανή μαρτυρία οι </w:t>
      </w:r>
      <w:proofErr w:type="spellStart"/>
      <w:r w:rsidR="008A02DD">
        <w:rPr>
          <w:rFonts w:ascii="Bookman Old Style" w:hAnsi="Bookman Old Style"/>
          <w:sz w:val="28"/>
          <w:szCs w:val="28"/>
          <w:lang w:val="el-GR"/>
        </w:rPr>
        <w:t>δικογραφημένες</w:t>
      </w:r>
      <w:proofErr w:type="spellEnd"/>
      <w:r w:rsidR="008A02DD">
        <w:rPr>
          <w:rFonts w:ascii="Bookman Old Style" w:hAnsi="Bookman Old Style"/>
          <w:sz w:val="28"/>
          <w:szCs w:val="28"/>
          <w:lang w:val="el-GR"/>
        </w:rPr>
        <w:t xml:space="preserve"> αξιώσεις του.</w:t>
      </w:r>
    </w:p>
    <w:p w14:paraId="03A413F3" w14:textId="77777777" w:rsidR="002A5B7A" w:rsidRDefault="002A5B7A" w:rsidP="00B74938">
      <w:pPr>
        <w:spacing w:line="480" w:lineRule="auto"/>
        <w:ind w:right="-35"/>
        <w:jc w:val="both"/>
        <w:rPr>
          <w:rFonts w:ascii="Bookman Old Style" w:hAnsi="Bookman Old Style" w:cs="Arial"/>
          <w:sz w:val="28"/>
          <w:szCs w:val="28"/>
          <w:lang w:val="el-GR"/>
        </w:rPr>
      </w:pPr>
    </w:p>
    <w:p w14:paraId="70153E33" w14:textId="68A9C3DD" w:rsidR="002A5B7A" w:rsidRDefault="007D695E" w:rsidP="00B74938">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Όπως δε διαπιστώνεται, τ</w:t>
      </w:r>
      <w:r w:rsidR="002A5B7A">
        <w:rPr>
          <w:rFonts w:ascii="Bookman Old Style" w:hAnsi="Bookman Old Style"/>
          <w:sz w:val="28"/>
          <w:szCs w:val="28"/>
          <w:lang w:val="el-GR"/>
        </w:rPr>
        <w:t xml:space="preserve">ο πρωτόδικο Δικαστήριο εξέτασε επιμελώς </w:t>
      </w:r>
      <w:r w:rsidR="0044662C">
        <w:rPr>
          <w:rFonts w:ascii="Bookman Old Style" w:hAnsi="Bookman Old Style"/>
          <w:sz w:val="28"/>
          <w:szCs w:val="28"/>
          <w:lang w:val="el-GR"/>
        </w:rPr>
        <w:t xml:space="preserve">τις αξιώσεις του </w:t>
      </w:r>
      <w:proofErr w:type="spellStart"/>
      <w:r w:rsidR="0044662C">
        <w:rPr>
          <w:rFonts w:ascii="Bookman Old Style" w:hAnsi="Bookman Old Style"/>
          <w:sz w:val="28"/>
          <w:szCs w:val="28"/>
          <w:lang w:val="el-GR"/>
        </w:rPr>
        <w:t>Εφεσείοντα</w:t>
      </w:r>
      <w:proofErr w:type="spellEnd"/>
      <w:r w:rsidR="0044662C">
        <w:rPr>
          <w:rFonts w:ascii="Bookman Old Style" w:hAnsi="Bookman Old Style"/>
          <w:sz w:val="28"/>
          <w:szCs w:val="28"/>
          <w:lang w:val="el-GR"/>
        </w:rPr>
        <w:t xml:space="preserve"> σε συνάρτηση με την</w:t>
      </w:r>
      <w:r w:rsidR="002A5B7A">
        <w:rPr>
          <w:rFonts w:ascii="Bookman Old Style" w:hAnsi="Bookman Old Style"/>
          <w:sz w:val="28"/>
          <w:szCs w:val="28"/>
          <w:lang w:val="el-GR"/>
        </w:rPr>
        <w:t xml:space="preserve"> προσαχθείσα μαρτυρία και για καλούς και πειστικούς λόγους, που σε έκταση καταγράφει στην Απόφαση του, δεν αποδέχτηκε τη μαρτυρία</w:t>
      </w:r>
      <w:r>
        <w:rPr>
          <w:rFonts w:ascii="Bookman Old Style" w:hAnsi="Bookman Old Style"/>
          <w:sz w:val="28"/>
          <w:szCs w:val="28"/>
          <w:lang w:val="el-GR"/>
        </w:rPr>
        <w:t xml:space="preserve"> του </w:t>
      </w:r>
      <w:proofErr w:type="spellStart"/>
      <w:r>
        <w:rPr>
          <w:rFonts w:ascii="Bookman Old Style" w:hAnsi="Bookman Old Style"/>
          <w:sz w:val="28"/>
          <w:szCs w:val="28"/>
          <w:lang w:val="el-GR"/>
        </w:rPr>
        <w:t>Εφεσείοντα</w:t>
      </w:r>
      <w:proofErr w:type="spellEnd"/>
      <w:r w:rsidR="00BB6240">
        <w:rPr>
          <w:rFonts w:ascii="Bookman Old Style" w:hAnsi="Bookman Old Style"/>
          <w:sz w:val="28"/>
          <w:szCs w:val="28"/>
          <w:lang w:val="el-GR"/>
        </w:rPr>
        <w:t xml:space="preserve"> και την κατ</w:t>
      </w:r>
      <w:r w:rsidR="00061A82">
        <w:rPr>
          <w:rFonts w:ascii="Bookman Old Style" w:hAnsi="Bookman Old Style"/>
          <w:sz w:val="28"/>
          <w:szCs w:val="28"/>
          <w:lang w:val="el-GR"/>
        </w:rPr>
        <w:t xml:space="preserve">’ </w:t>
      </w:r>
      <w:r w:rsidR="00BB6240">
        <w:rPr>
          <w:rFonts w:ascii="Bookman Old Style" w:hAnsi="Bookman Old Style"/>
          <w:sz w:val="28"/>
          <w:szCs w:val="28"/>
          <w:lang w:val="el-GR"/>
        </w:rPr>
        <w:t xml:space="preserve">ισχυρισμό δόλια συμπεριφορά από μέρους των </w:t>
      </w:r>
      <w:proofErr w:type="spellStart"/>
      <w:r w:rsidR="00BB6240">
        <w:rPr>
          <w:rFonts w:ascii="Bookman Old Style" w:hAnsi="Bookman Old Style"/>
          <w:sz w:val="28"/>
          <w:szCs w:val="28"/>
          <w:lang w:val="el-GR"/>
        </w:rPr>
        <w:t>Εφεσιβλήτων</w:t>
      </w:r>
      <w:proofErr w:type="spellEnd"/>
      <w:r w:rsidR="002A5B7A">
        <w:rPr>
          <w:rFonts w:ascii="Bookman Old Style" w:hAnsi="Bookman Old Style"/>
          <w:sz w:val="28"/>
          <w:szCs w:val="28"/>
          <w:lang w:val="el-GR"/>
        </w:rPr>
        <w:t>.</w:t>
      </w:r>
    </w:p>
    <w:p w14:paraId="60083760" w14:textId="77777777" w:rsidR="00BB6240" w:rsidRDefault="00BB6240" w:rsidP="00B74938">
      <w:pPr>
        <w:spacing w:line="480" w:lineRule="auto"/>
        <w:ind w:right="-35"/>
        <w:jc w:val="both"/>
        <w:rPr>
          <w:rFonts w:ascii="Bookman Old Style" w:hAnsi="Bookman Old Style"/>
          <w:sz w:val="28"/>
          <w:szCs w:val="28"/>
          <w:lang w:val="el-GR"/>
        </w:rPr>
      </w:pPr>
    </w:p>
    <w:p w14:paraId="00B82580" w14:textId="237FB8E2" w:rsidR="00BB6240" w:rsidRDefault="00BB6240" w:rsidP="00B74938">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Παρατίθεται πιο κάτω η σχετική περικοπή από την πρωτόδικη Απόφαση:</w:t>
      </w:r>
    </w:p>
    <w:p w14:paraId="6CC21665" w14:textId="77777777" w:rsidR="00BB6240" w:rsidRDefault="00BB6240" w:rsidP="00B74938">
      <w:pPr>
        <w:spacing w:line="480" w:lineRule="auto"/>
        <w:ind w:right="-35"/>
        <w:jc w:val="both"/>
        <w:rPr>
          <w:rFonts w:ascii="Bookman Old Style" w:hAnsi="Bookman Old Style"/>
          <w:sz w:val="28"/>
          <w:szCs w:val="28"/>
          <w:lang w:val="el-GR"/>
        </w:rPr>
      </w:pPr>
    </w:p>
    <w:p w14:paraId="0A41BD78" w14:textId="77777777" w:rsidR="00BB6240" w:rsidRPr="000C1B94" w:rsidRDefault="00BB6240" w:rsidP="00DF1760">
      <w:pPr>
        <w:overflowPunct w:val="0"/>
        <w:spacing w:line="276" w:lineRule="auto"/>
        <w:ind w:left="426" w:right="390"/>
        <w:jc w:val="both"/>
        <w:rPr>
          <w:rFonts w:ascii="Bookman Old Style" w:hAnsi="Bookman Old Style" w:cs="Arial"/>
          <w:sz w:val="28"/>
          <w:szCs w:val="28"/>
          <w:lang w:val="el-GR"/>
        </w:rPr>
      </w:pPr>
      <w:r w:rsidRPr="000C1B94">
        <w:rPr>
          <w:rFonts w:ascii="Bookman Old Style" w:hAnsi="Bookman Old Style" w:cs="Arial"/>
          <w:sz w:val="28"/>
          <w:szCs w:val="28"/>
          <w:lang w:val="el-GR"/>
        </w:rPr>
        <w:t xml:space="preserve">«Η αξίωση του Ενάγοντα βασίζεται στον δόλο ή/και την απάτη ή/και τις ψευδείς παραστάσεις που οι Εναγόμενοι 1 και 2 εξάσκησαν σε αυτόν και ζητά όπως αποζημιωθεί. Σύμφωνα με τα δικόγραφα του Ενάγοντα υπήρχε προφορική συμφωνία μεταξύ του και των </w:t>
      </w:r>
      <w:proofErr w:type="spellStart"/>
      <w:r w:rsidRPr="000C1B94">
        <w:rPr>
          <w:rFonts w:ascii="Bookman Old Style" w:hAnsi="Bookman Old Style" w:cs="Arial"/>
          <w:sz w:val="28"/>
          <w:szCs w:val="28"/>
          <w:lang w:val="el-GR"/>
        </w:rPr>
        <w:t>Εναγομένων</w:t>
      </w:r>
      <w:proofErr w:type="spellEnd"/>
      <w:r w:rsidRPr="000C1B94">
        <w:rPr>
          <w:rFonts w:ascii="Bookman Old Style" w:hAnsi="Bookman Old Style" w:cs="Arial"/>
          <w:sz w:val="28"/>
          <w:szCs w:val="28"/>
          <w:lang w:val="el-GR"/>
        </w:rPr>
        <w:t xml:space="preserve"> 1 και 2, «</w:t>
      </w:r>
      <w:r w:rsidRPr="000C1B94">
        <w:rPr>
          <w:rFonts w:ascii="Bookman Old Style" w:hAnsi="Bookman Old Style" w:cs="Arial"/>
          <w:sz w:val="28"/>
          <w:szCs w:val="28"/>
        </w:rPr>
        <w:t>shareholders</w:t>
      </w:r>
      <w:r w:rsidRPr="000C1B94">
        <w:rPr>
          <w:rFonts w:ascii="Bookman Old Style" w:hAnsi="Bookman Old Style" w:cs="Arial"/>
          <w:sz w:val="28"/>
          <w:szCs w:val="28"/>
          <w:lang w:val="el-GR"/>
        </w:rPr>
        <w:t xml:space="preserve"> </w:t>
      </w:r>
      <w:r w:rsidRPr="000C1B94">
        <w:rPr>
          <w:rFonts w:ascii="Bookman Old Style" w:hAnsi="Bookman Old Style" w:cs="Arial"/>
          <w:sz w:val="28"/>
          <w:szCs w:val="28"/>
        </w:rPr>
        <w:t>agreement</w:t>
      </w:r>
      <w:r w:rsidRPr="000C1B94">
        <w:rPr>
          <w:rFonts w:ascii="Bookman Old Style" w:hAnsi="Bookman Old Style" w:cs="Arial"/>
          <w:sz w:val="28"/>
          <w:szCs w:val="28"/>
          <w:lang w:val="el-GR"/>
        </w:rPr>
        <w:t xml:space="preserve">», στην οποία οι Εναγόμενοι 1 και 2 είχαν συμφωνήσει ότι θα διαχειρίζονται τα θέματα που αφορούν τη συγκεκριμένη Εταιρεία με εύλογη επιμέλεια, χωρίς να επηρεάζονται αρνητικά τα συμφέροντα οποιουδήποτε μετόχου, ότι δεν θα έπρατταν οτιδήποτε το οποίο θα μπορούσε να θεωρηθεί ως παράβαση της σχέσης εμπιστοσύνης είτε προς την Εταιρεία, είτε προς οποιονδήποτε εκ των συμβαλλομένων, ότι δεν θα συναγωνίζονταν την Εταιρεία, ότι δεν θα προέβαιναν σε </w:t>
      </w:r>
      <w:r w:rsidRPr="000C1B94">
        <w:rPr>
          <w:rFonts w:ascii="Bookman Old Style" w:hAnsi="Bookman Old Style" w:cs="Arial"/>
          <w:sz w:val="28"/>
          <w:szCs w:val="28"/>
          <w:lang w:val="el-GR"/>
        </w:rPr>
        <w:lastRenderedPageBreak/>
        <w:t xml:space="preserve">οποιαδήποτε άμεση ή και έμμεση λήψη οφέλους έναντι της Εταιρείας, ότι δεν θα επέτρεπαν να </w:t>
      </w:r>
      <w:proofErr w:type="spellStart"/>
      <w:r w:rsidRPr="000C1B94">
        <w:rPr>
          <w:rFonts w:ascii="Bookman Old Style" w:hAnsi="Bookman Old Style" w:cs="Arial"/>
          <w:sz w:val="28"/>
          <w:szCs w:val="28"/>
          <w:lang w:val="el-GR"/>
        </w:rPr>
        <w:t>απολέσει</w:t>
      </w:r>
      <w:proofErr w:type="spellEnd"/>
      <w:r w:rsidRPr="000C1B94">
        <w:rPr>
          <w:rFonts w:ascii="Bookman Old Style" w:hAnsi="Bookman Old Style" w:cs="Arial"/>
          <w:sz w:val="28"/>
          <w:szCs w:val="28"/>
          <w:lang w:val="el-GR"/>
        </w:rPr>
        <w:t xml:space="preserve"> εμπορικές δυνατότητες ή και ευκαιρίες η Εταιρεία, ότι δεν θα υπερέβαιναν τις παρεχόμενες σε αυτούς εξουσίες, ότι δεν θα παραβίαζαν τα εκ του νόμου απορρέοντα καθήκοντά τους και ότι η διαχείριση και ο τρόπος λειτουργίας της Εταιρείας θα ήταν υπό τον αποκλειστικό έλεγχο και ευθύνη του Ενάγοντα και του </w:t>
      </w:r>
      <w:proofErr w:type="spellStart"/>
      <w:r w:rsidRPr="000C1B94">
        <w:rPr>
          <w:rFonts w:ascii="Bookman Old Style" w:hAnsi="Bookman Old Style" w:cs="Arial"/>
          <w:sz w:val="28"/>
          <w:szCs w:val="28"/>
          <w:lang w:val="el-GR"/>
        </w:rPr>
        <w:t>Εναγομένου</w:t>
      </w:r>
      <w:proofErr w:type="spellEnd"/>
      <w:r w:rsidRPr="000C1B94">
        <w:rPr>
          <w:rFonts w:ascii="Bookman Old Style" w:hAnsi="Bookman Old Style" w:cs="Arial"/>
          <w:sz w:val="28"/>
          <w:szCs w:val="28"/>
          <w:lang w:val="el-GR"/>
        </w:rPr>
        <w:t xml:space="preserve"> 2, οι οποίοι θα αμείβονταν για τις υπηρεσίες τους. Με όλες αυτές τις υποσχέσεις είχαν δόλια πείσει τον Ενάγοντα να επενδύσει στην Εταιρεία και αργότερα τις παραβίασαν, σύμφωνα πάντοτε με τους ισχυρισμούς του Ενάγοντα.</w:t>
      </w:r>
    </w:p>
    <w:p w14:paraId="12457E50" w14:textId="77777777" w:rsidR="000C1B94" w:rsidRDefault="00BB6240" w:rsidP="00DF1760">
      <w:pPr>
        <w:overflowPunct w:val="0"/>
        <w:spacing w:line="276" w:lineRule="auto"/>
        <w:ind w:left="426" w:right="390"/>
        <w:jc w:val="both"/>
        <w:rPr>
          <w:rFonts w:ascii="Bookman Old Style" w:hAnsi="Bookman Old Style" w:cs="Arial"/>
          <w:sz w:val="28"/>
          <w:szCs w:val="28"/>
          <w:lang w:val="el-GR"/>
        </w:rPr>
      </w:pPr>
      <w:r w:rsidRPr="000C1B94">
        <w:rPr>
          <w:rFonts w:ascii="Bookman Old Style" w:hAnsi="Bookman Old Style" w:cs="Arial"/>
          <w:sz w:val="28"/>
          <w:szCs w:val="28"/>
          <w:lang w:val="el-GR"/>
        </w:rPr>
        <w:t>…………………………………………………………………………………</w:t>
      </w:r>
    </w:p>
    <w:p w14:paraId="4C4B4033" w14:textId="50F7A0B4" w:rsidR="00D96137" w:rsidRPr="000C1B94" w:rsidRDefault="00D96137" w:rsidP="00DF1760">
      <w:pPr>
        <w:overflowPunct w:val="0"/>
        <w:spacing w:line="276" w:lineRule="auto"/>
        <w:ind w:left="426" w:right="390"/>
        <w:jc w:val="both"/>
        <w:rPr>
          <w:rFonts w:ascii="Bookman Old Style" w:hAnsi="Bookman Old Style" w:cs="Arial"/>
          <w:sz w:val="28"/>
          <w:szCs w:val="28"/>
          <w:lang w:val="el-GR"/>
        </w:rPr>
      </w:pPr>
      <w:r w:rsidRPr="000C1B94">
        <w:rPr>
          <w:rFonts w:ascii="Bookman Old Style" w:hAnsi="Bookman Old Style" w:cs="Arial"/>
          <w:sz w:val="28"/>
          <w:szCs w:val="28"/>
          <w:lang w:val="el-GR"/>
        </w:rPr>
        <w:t>Η θέση του Ενάγοντα ότι αυτός εξαπατήθηκε κατά την υπογραφή της επίδικης συμφωνίας, Τεκμήριο 7, δεν βρίσκει έρεισμα στα πραγματικά γεγονότα της υπόθεσης όπως έχουν εξαχθεί από το Δικαστήριο. Η θέση του Ενάγοντα ότι υπέγραψε την εν λόγω συμφωνία μετά από διαβεβαιώσεις, ιδιαίτερα του Εναγόμενου 1, ότι πρόκειται περί εξαιρετικής επιχειρηματικής δραστηριότητας δεν μπορεί παρά να απορριφθεί αφού, πρώτον, ο ίδιος ο Ενάγοντας ήταν πετυχημένος επιχειρηματίας στον συγκεκριμένο χώρο και μπορούσε να ασκήσει την δική του κρίση σε σχέση με τις πιθανότητες επιτυχίας της συγκεκριμένης επιχειρηματικής δραστηριότητας, δεύτερον, η συγκεκριμένη άποψη, σύμφωνα με τον ισχυρισμό του ίδιου του Ενάγοντα, είχε εκφραστεί από τον Εναγόμενο 1 μετά που είχε υπογραφτεί η συμφωνία αγοράς των συγκεκριμένων συμφερόντων οπόταν πως θα μπορούσε να τον εξαπατήσει ή να τον πείσει από την συγκεκριμένη ψευδή παράσταση στην υπογραφή της συμφωνίας και, τρίτον, είχαν και οι ίδιοι οι Εναγόμενοι 1 και 2 συμφέρον στο να καταστεί η συγκεκριμένη επιχείρηση κερδοφόρα αφού και εκείνοι είχαν επενδύσει λεφτά και είχαν εγγυηθεί την Εταιρεία στην Τράπεζα Κύπρου οπόταν γιατί να ενεργήσουν εναντίον των συμφερόντων τους παρουσιάζοντας κάποιο γεγονός ως αληθές. Επομένως, δεν υπάρχουν οποιαδήποτε γεγονότα ενώπιον του Δικαστηρίου που να χρήζουν περαιτέρω ανάλυσης και εξήγησης στο κατά πόσο συνιστούν απάτη ή όχι σύμφωνα με το άρθρο 17 του περί Συμβάσεως Νόμου ή το άρθρο 36 του περί Αστικών Αδικημάτων Νόμου</w:t>
      </w:r>
      <w:r w:rsidR="00061A82">
        <w:rPr>
          <w:rFonts w:ascii="Bookman Old Style" w:hAnsi="Bookman Old Style" w:cs="Arial"/>
          <w:sz w:val="28"/>
          <w:szCs w:val="28"/>
          <w:lang w:val="el-GR"/>
        </w:rPr>
        <w:t>.</w:t>
      </w:r>
      <w:r w:rsidRPr="000C1B94">
        <w:rPr>
          <w:rFonts w:ascii="Bookman Old Style" w:hAnsi="Bookman Old Style" w:cs="Arial"/>
          <w:sz w:val="28"/>
          <w:szCs w:val="28"/>
          <w:lang w:val="el-GR"/>
        </w:rPr>
        <w:t>»</w:t>
      </w:r>
    </w:p>
    <w:p w14:paraId="2092F4C8" w14:textId="7C787B35" w:rsidR="002A5B7A" w:rsidRPr="008A558E" w:rsidRDefault="00D96137" w:rsidP="00B74938">
      <w:pPr>
        <w:spacing w:line="480" w:lineRule="auto"/>
        <w:ind w:right="-35"/>
        <w:jc w:val="both"/>
        <w:rPr>
          <w:rFonts w:ascii="Bookman Old Style" w:hAnsi="Bookman Old Style" w:cs="Arial"/>
          <w:sz w:val="28"/>
          <w:szCs w:val="28"/>
          <w:lang w:val="el-GR"/>
        </w:rPr>
      </w:pPr>
      <w:r>
        <w:rPr>
          <w:rFonts w:ascii="Bookman Old Style" w:hAnsi="Bookman Old Style"/>
          <w:sz w:val="28"/>
          <w:szCs w:val="28"/>
          <w:lang w:val="el-GR"/>
        </w:rPr>
        <w:lastRenderedPageBreak/>
        <w:t>Όπως διαπιστώνεται,</w:t>
      </w:r>
      <w:r w:rsidR="007D695E">
        <w:rPr>
          <w:rFonts w:ascii="Bookman Old Style" w:hAnsi="Bookman Old Style"/>
          <w:sz w:val="28"/>
          <w:szCs w:val="28"/>
          <w:lang w:val="el-GR"/>
        </w:rPr>
        <w:t xml:space="preserve"> τ</w:t>
      </w:r>
      <w:r w:rsidR="002A5B7A">
        <w:rPr>
          <w:rFonts w:ascii="Bookman Old Style" w:hAnsi="Bookman Old Style"/>
          <w:sz w:val="28"/>
          <w:szCs w:val="28"/>
          <w:lang w:val="el-GR"/>
        </w:rPr>
        <w:t xml:space="preserve">ο πρωτόδικο Δικαστήριο παρέθεσε, ανέλυσε και αντίκρισε τη μαρτυρία </w:t>
      </w:r>
      <w:r>
        <w:rPr>
          <w:rFonts w:ascii="Bookman Old Style" w:hAnsi="Bookman Old Style"/>
          <w:sz w:val="28"/>
          <w:szCs w:val="28"/>
          <w:lang w:val="el-GR"/>
        </w:rPr>
        <w:t>και κατ</w:t>
      </w:r>
      <w:r w:rsidR="00061A82">
        <w:rPr>
          <w:rFonts w:ascii="Bookman Old Style" w:hAnsi="Bookman Old Style"/>
          <w:sz w:val="28"/>
          <w:szCs w:val="28"/>
          <w:lang w:val="el-GR"/>
        </w:rPr>
        <w:t xml:space="preserve">’ </w:t>
      </w:r>
      <w:r>
        <w:rPr>
          <w:rFonts w:ascii="Bookman Old Style" w:hAnsi="Bookman Old Style"/>
          <w:sz w:val="28"/>
          <w:szCs w:val="28"/>
          <w:lang w:val="el-GR"/>
        </w:rPr>
        <w:t xml:space="preserve">επέκταση την εκδοχή </w:t>
      </w:r>
      <w:r w:rsidR="002A5B7A">
        <w:rPr>
          <w:rFonts w:ascii="Bookman Old Style" w:hAnsi="Bookman Old Style"/>
          <w:sz w:val="28"/>
          <w:szCs w:val="28"/>
          <w:lang w:val="el-GR"/>
        </w:rPr>
        <w:t xml:space="preserve">του </w:t>
      </w:r>
      <w:proofErr w:type="spellStart"/>
      <w:r w:rsidR="002A5B7A">
        <w:rPr>
          <w:rFonts w:ascii="Bookman Old Style" w:hAnsi="Bookman Old Style"/>
          <w:sz w:val="28"/>
          <w:szCs w:val="28"/>
          <w:lang w:val="el-GR"/>
        </w:rPr>
        <w:t>Εφεσείοντα</w:t>
      </w:r>
      <w:proofErr w:type="spellEnd"/>
      <w:r w:rsidR="002A5B7A">
        <w:rPr>
          <w:rFonts w:ascii="Bookman Old Style" w:hAnsi="Bookman Old Style"/>
          <w:sz w:val="28"/>
          <w:szCs w:val="28"/>
          <w:lang w:val="el-GR"/>
        </w:rPr>
        <w:t xml:space="preserve"> με πολλή λεπτομέρεια, δίδοντας ικανούς λόγους για τη μη αποδοχή της.</w:t>
      </w:r>
    </w:p>
    <w:p w14:paraId="73D59EEE" w14:textId="77777777" w:rsidR="00457CBF" w:rsidRPr="008518F5" w:rsidRDefault="00457CBF" w:rsidP="00963265">
      <w:pPr>
        <w:spacing w:line="480" w:lineRule="auto"/>
        <w:ind w:right="-35"/>
        <w:jc w:val="both"/>
        <w:rPr>
          <w:rFonts w:ascii="Bookman Old Style" w:hAnsi="Bookman Old Style" w:cs="Arial"/>
          <w:sz w:val="28"/>
          <w:szCs w:val="28"/>
          <w:lang w:val="el-GR"/>
        </w:rPr>
      </w:pPr>
    </w:p>
    <w:p w14:paraId="079FE528" w14:textId="2E6CA05B" w:rsidR="006A35A6" w:rsidRDefault="00D76026"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4</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vertAlign w:val="superscript"/>
          <w:lang w:val="el-GR"/>
        </w:rPr>
        <w:t>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προβάλλεται ότι υπήρξε εσφαλμένη αξιολόγηση της μαρτυρίας, καθώς και η διατύπωση αυθαίρετων ευρημάτων.</w:t>
      </w:r>
    </w:p>
    <w:p w14:paraId="63F11FA5" w14:textId="77777777" w:rsidR="00D76026" w:rsidRDefault="00D76026" w:rsidP="005B4561">
      <w:pPr>
        <w:spacing w:line="480" w:lineRule="auto"/>
        <w:ind w:right="-35"/>
        <w:jc w:val="both"/>
        <w:rPr>
          <w:rFonts w:ascii="Bookman Old Style" w:hAnsi="Bookman Old Style" w:cs="Arial"/>
          <w:sz w:val="28"/>
          <w:szCs w:val="28"/>
          <w:lang w:val="el-GR"/>
        </w:rPr>
      </w:pPr>
    </w:p>
    <w:p w14:paraId="2A1F3996" w14:textId="351B9EBC" w:rsidR="00D76026" w:rsidRDefault="00D76026"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Μεταξύ άλλων προβάλλεται ότι το πρωτόδικο Δικαστήριο στηρίχθηκε μόνο στην εξωτερική εντύπωση που άφησαν οι μάρτυρες χωρίς να αξιολογήσει επαρκώς το περιεχόμενο της μαρτυρίας τους και ότι ειδικά έσφαλε κατά την αξιολόγηση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w:t>
      </w:r>
    </w:p>
    <w:p w14:paraId="384E0FA3" w14:textId="77777777" w:rsidR="000C1B94" w:rsidRDefault="000C1B94" w:rsidP="005B4561">
      <w:pPr>
        <w:spacing w:line="480" w:lineRule="auto"/>
        <w:ind w:right="-35"/>
        <w:jc w:val="both"/>
        <w:rPr>
          <w:rFonts w:ascii="Bookman Old Style" w:hAnsi="Bookman Old Style" w:cs="Arial"/>
          <w:sz w:val="28"/>
          <w:szCs w:val="28"/>
          <w:lang w:val="el-GR"/>
        </w:rPr>
      </w:pPr>
    </w:p>
    <w:p w14:paraId="7DEAF4B0" w14:textId="63A5F554" w:rsidR="00136261" w:rsidRDefault="00D76026" w:rsidP="003D0680">
      <w:pPr>
        <w:spacing w:line="480" w:lineRule="auto"/>
        <w:jc w:val="both"/>
        <w:rPr>
          <w:rFonts w:ascii="Bookman Old Style" w:hAnsi="Bookman Old Style"/>
          <w:sz w:val="28"/>
          <w:szCs w:val="28"/>
          <w:lang w:val="el-GR"/>
        </w:rPr>
      </w:pPr>
      <w:r w:rsidRPr="00D76026">
        <w:rPr>
          <w:rFonts w:ascii="Bookman Old Style" w:hAnsi="Bookman Old Style"/>
          <w:sz w:val="28"/>
          <w:szCs w:val="28"/>
          <w:lang w:val="el-GR"/>
        </w:rPr>
        <w:t xml:space="preserve">Έχοντας μελετήσει την πρωτόδικη Απόφαση και τη μαρτυρία που είχε τεθεί ενώπιον του πρωτόδικου Δικαστηρίου, όπως αυτή προκύπτει από τα πρακτικά, δεν υιοθετούμε την ως άνω θέση. Το πρωτόδικο Δικαστήριο λειτούργησε εντός των επιτρεπτών ορίων ως προς τη βαρύτητα που προσέδωσε στην εντύπωση που άφησε ο </w:t>
      </w:r>
      <w:proofErr w:type="spellStart"/>
      <w:r w:rsidRPr="00D76026">
        <w:rPr>
          <w:rFonts w:ascii="Bookman Old Style" w:hAnsi="Bookman Old Style"/>
          <w:sz w:val="28"/>
          <w:szCs w:val="28"/>
          <w:lang w:val="el-GR"/>
        </w:rPr>
        <w:t>Εφεσείων</w:t>
      </w:r>
      <w:proofErr w:type="spellEnd"/>
      <w:r w:rsidRPr="00D76026">
        <w:rPr>
          <w:rFonts w:ascii="Bookman Old Style" w:hAnsi="Bookman Old Style"/>
          <w:sz w:val="28"/>
          <w:szCs w:val="28"/>
          <w:lang w:val="el-GR"/>
        </w:rPr>
        <w:t xml:space="preserve"> στο εδώλιο του μάρτυρα. Δεν έχουμε διαπιστώσει το πρωτόδικο Δικαστήριο να έχει περιοριστεί μόνο στις εντυπώσεις </w:t>
      </w:r>
      <w:r>
        <w:rPr>
          <w:rFonts w:ascii="Bookman Old Style" w:hAnsi="Bookman Old Style"/>
          <w:sz w:val="28"/>
          <w:szCs w:val="28"/>
          <w:lang w:val="el-GR"/>
        </w:rPr>
        <w:t>και να μην έχει τεθεί στη βάσανο της αξιολόγησης το περιεχόμενο της μαρτυρίας του</w:t>
      </w:r>
      <w:r w:rsidR="00136261">
        <w:rPr>
          <w:rFonts w:ascii="Bookman Old Style" w:hAnsi="Bookman Old Style"/>
          <w:sz w:val="28"/>
          <w:szCs w:val="28"/>
          <w:lang w:val="el-GR"/>
        </w:rPr>
        <w:t xml:space="preserve"> </w:t>
      </w:r>
      <w:proofErr w:type="spellStart"/>
      <w:r w:rsidR="00136261">
        <w:rPr>
          <w:rFonts w:ascii="Bookman Old Style" w:hAnsi="Bookman Old Style"/>
          <w:sz w:val="28"/>
          <w:szCs w:val="28"/>
          <w:lang w:val="el-GR"/>
        </w:rPr>
        <w:t>Εφεσείοντα</w:t>
      </w:r>
      <w:proofErr w:type="spellEnd"/>
      <w:r>
        <w:rPr>
          <w:rFonts w:ascii="Bookman Old Style" w:hAnsi="Bookman Old Style"/>
          <w:sz w:val="28"/>
          <w:szCs w:val="28"/>
          <w:lang w:val="el-GR"/>
        </w:rPr>
        <w:t>.</w:t>
      </w:r>
      <w:r w:rsidRPr="00D76026">
        <w:rPr>
          <w:rFonts w:ascii="Bookman Old Style" w:hAnsi="Bookman Old Style"/>
          <w:sz w:val="28"/>
          <w:szCs w:val="28"/>
          <w:lang w:val="el-GR"/>
        </w:rPr>
        <w:t xml:space="preserve"> Προχώρησε και έδωσε καλούς </w:t>
      </w:r>
      <w:r w:rsidRPr="00D76026">
        <w:rPr>
          <w:rFonts w:ascii="Bookman Old Style" w:hAnsi="Bookman Old Style"/>
          <w:sz w:val="28"/>
          <w:szCs w:val="28"/>
          <w:lang w:val="el-GR"/>
        </w:rPr>
        <w:lastRenderedPageBreak/>
        <w:t>και πειστικούς λόγους που καταγράφει στην Απόφαση του.</w:t>
      </w:r>
      <w:r w:rsidR="00464EE8">
        <w:rPr>
          <w:rFonts w:ascii="Bookman Old Style" w:hAnsi="Bookman Old Style"/>
          <w:sz w:val="28"/>
          <w:szCs w:val="28"/>
          <w:lang w:val="el-GR"/>
        </w:rPr>
        <w:t xml:space="preserve"> Εντόπισε </w:t>
      </w:r>
      <w:r w:rsidRPr="00D76026">
        <w:rPr>
          <w:rFonts w:ascii="Bookman Old Style" w:hAnsi="Bookman Old Style"/>
          <w:sz w:val="28"/>
          <w:szCs w:val="28"/>
          <w:lang w:val="el-GR"/>
        </w:rPr>
        <w:t xml:space="preserve"> </w:t>
      </w:r>
      <w:r w:rsidR="00464EE8">
        <w:rPr>
          <w:rFonts w:ascii="Bookman Old Style" w:hAnsi="Bookman Old Style"/>
          <w:sz w:val="28"/>
          <w:szCs w:val="28"/>
          <w:lang w:val="el-GR"/>
        </w:rPr>
        <w:t>«</w:t>
      </w:r>
      <w:r w:rsidR="00464EE8" w:rsidRPr="00464EE8">
        <w:rPr>
          <w:rFonts w:ascii="Bookman Old Style" w:hAnsi="Bookman Old Style"/>
          <w:i/>
          <w:iCs/>
          <w:sz w:val="28"/>
          <w:szCs w:val="28"/>
          <w:lang w:val="el-GR"/>
        </w:rPr>
        <w:t>αντιφάσεις, παραδοχές καθώς και ανακρίβειες</w:t>
      </w:r>
      <w:r w:rsidR="00464EE8">
        <w:rPr>
          <w:rFonts w:ascii="Bookman Old Style" w:hAnsi="Bookman Old Style"/>
          <w:sz w:val="28"/>
          <w:szCs w:val="28"/>
          <w:lang w:val="el-GR"/>
        </w:rPr>
        <w:t xml:space="preserve">» τις οποίες κατέγραψε και συνεκτίμησε για να καταλήξει ότι ο </w:t>
      </w:r>
      <w:proofErr w:type="spellStart"/>
      <w:r w:rsidR="00464EE8">
        <w:rPr>
          <w:rFonts w:ascii="Bookman Old Style" w:hAnsi="Bookman Old Style"/>
          <w:sz w:val="28"/>
          <w:szCs w:val="28"/>
          <w:lang w:val="el-GR"/>
        </w:rPr>
        <w:t>Εφεσείων</w:t>
      </w:r>
      <w:proofErr w:type="spellEnd"/>
      <w:r w:rsidR="00464EE8">
        <w:rPr>
          <w:rFonts w:ascii="Bookman Old Style" w:hAnsi="Bookman Old Style"/>
          <w:sz w:val="28"/>
          <w:szCs w:val="28"/>
          <w:lang w:val="el-GR"/>
        </w:rPr>
        <w:t xml:space="preserve"> «</w:t>
      </w:r>
      <w:r w:rsidR="00464EE8" w:rsidRPr="00464EE8">
        <w:rPr>
          <w:rFonts w:ascii="Bookman Old Style" w:hAnsi="Bookman Old Style"/>
          <w:i/>
          <w:iCs/>
          <w:sz w:val="28"/>
          <w:szCs w:val="28"/>
          <w:lang w:val="el-GR"/>
        </w:rPr>
        <w:t>δεν είπε την αλήθεια στο Δικαστήριο</w:t>
      </w:r>
      <w:r w:rsidR="00464EE8">
        <w:rPr>
          <w:rFonts w:ascii="Bookman Old Style" w:hAnsi="Bookman Old Style"/>
          <w:sz w:val="28"/>
          <w:szCs w:val="28"/>
          <w:lang w:val="el-GR"/>
        </w:rPr>
        <w:t xml:space="preserve">». </w:t>
      </w:r>
      <w:r w:rsidRPr="00D76026">
        <w:rPr>
          <w:rFonts w:ascii="Bookman Old Style" w:hAnsi="Bookman Old Style"/>
          <w:sz w:val="28"/>
          <w:szCs w:val="28"/>
          <w:lang w:val="el-GR"/>
        </w:rPr>
        <w:t xml:space="preserve">Όπως προέκυψε το πρωτόδικο Δικαστήριο δεν περιορίστηκε στην ατομική αξιολόγηση και εκτίμηση της μαρτυρίας του </w:t>
      </w:r>
      <w:proofErr w:type="spellStart"/>
      <w:r w:rsidRPr="00D76026">
        <w:rPr>
          <w:rFonts w:ascii="Bookman Old Style" w:hAnsi="Bookman Old Style"/>
          <w:sz w:val="28"/>
          <w:szCs w:val="28"/>
          <w:lang w:val="el-GR"/>
        </w:rPr>
        <w:t>Εφεσείοντα</w:t>
      </w:r>
      <w:proofErr w:type="spellEnd"/>
      <w:r w:rsidRPr="00D76026">
        <w:rPr>
          <w:rFonts w:ascii="Bookman Old Style" w:hAnsi="Bookman Old Style"/>
          <w:sz w:val="28"/>
          <w:szCs w:val="28"/>
          <w:lang w:val="el-GR"/>
        </w:rPr>
        <w:t xml:space="preserve">, αλλά την αντιπαρέβαλε και τη διερεύνησε στο σύνολο της προσαχθείσας μαρτυρίας όπως η νομολογία επιτάσσει. Όπως λέχθηκε στην υπόθεση </w:t>
      </w:r>
      <w:r w:rsidRPr="00D76026">
        <w:rPr>
          <w:rFonts w:ascii="Bookman Old Style" w:hAnsi="Bookman Old Style"/>
          <w:b/>
          <w:bCs/>
          <w:i/>
          <w:iCs/>
          <w:sz w:val="28"/>
          <w:szCs w:val="28"/>
          <w:lang w:val="el-GR"/>
        </w:rPr>
        <w:t>Ομήρου v. Δημοκρατίας</w:t>
      </w:r>
      <w:r w:rsidR="003D0680">
        <w:rPr>
          <w:rFonts w:ascii="Bookman Old Style" w:hAnsi="Bookman Old Style"/>
          <w:b/>
          <w:bCs/>
          <w:i/>
          <w:iCs/>
          <w:sz w:val="28"/>
          <w:szCs w:val="28"/>
          <w:lang w:val="el-GR"/>
        </w:rPr>
        <w:t xml:space="preserve"> (2001) 2 Α.Α.Δ. 506</w:t>
      </w:r>
      <w:r w:rsidR="003D0680">
        <w:rPr>
          <w:rFonts w:ascii="Bookman Old Style" w:hAnsi="Bookman Old Style"/>
          <w:sz w:val="28"/>
          <w:szCs w:val="28"/>
          <w:lang w:val="el-GR"/>
        </w:rPr>
        <w:t xml:space="preserve">, </w:t>
      </w:r>
      <w:r w:rsidRPr="00D76026">
        <w:rPr>
          <w:rFonts w:ascii="Bookman Old Style" w:hAnsi="Bookman Old Style"/>
          <w:sz w:val="28"/>
          <w:szCs w:val="28"/>
          <w:lang w:val="el-GR"/>
        </w:rPr>
        <w:t>«</w:t>
      </w:r>
      <w:r w:rsidRPr="00D76026">
        <w:rPr>
          <w:rFonts w:ascii="Bookman Old Style" w:hAnsi="Bookman Old Style"/>
          <w:i/>
          <w:iCs/>
          <w:sz w:val="28"/>
          <w:szCs w:val="28"/>
          <w:lang w:val="el-GR"/>
        </w:rPr>
        <w:t>η αξιολόγηση της μαρτυρίας ενός μάρτυρα πρέπει να γίνεται με βάση το περιεχόμενό της, την ποιότητα και πειστικότητά της και με βάση τη σύγκρισή της με την υπόλοιπη μαρτυρία</w:t>
      </w:r>
      <w:r w:rsidRPr="00D76026">
        <w:rPr>
          <w:rFonts w:ascii="Bookman Old Style" w:hAnsi="Bookman Old Style"/>
          <w:sz w:val="28"/>
          <w:szCs w:val="28"/>
          <w:lang w:val="el-GR"/>
        </w:rPr>
        <w:t>».</w:t>
      </w:r>
    </w:p>
    <w:p w14:paraId="5AFBF22E" w14:textId="77777777" w:rsidR="001372DF" w:rsidRDefault="001372DF" w:rsidP="00136261">
      <w:pPr>
        <w:spacing w:line="480" w:lineRule="auto"/>
        <w:jc w:val="both"/>
        <w:rPr>
          <w:rFonts w:ascii="Bookman Old Style" w:hAnsi="Bookman Old Style"/>
          <w:sz w:val="28"/>
          <w:szCs w:val="28"/>
          <w:lang w:val="el-GR"/>
        </w:rPr>
      </w:pPr>
    </w:p>
    <w:p w14:paraId="5F5BD6A0" w14:textId="23E12F76" w:rsidR="001372DF" w:rsidRDefault="001372DF" w:rsidP="001372DF">
      <w:pPr>
        <w:spacing w:line="480" w:lineRule="auto"/>
        <w:jc w:val="both"/>
        <w:rPr>
          <w:rFonts w:ascii="Bookman Old Style" w:hAnsi="Bookman Old Style"/>
          <w:sz w:val="28"/>
          <w:szCs w:val="28"/>
          <w:lang w:val="el-GR"/>
        </w:rPr>
      </w:pPr>
      <w:r>
        <w:rPr>
          <w:rFonts w:ascii="Bookman Old Style" w:hAnsi="Bookman Old Style"/>
          <w:sz w:val="28"/>
          <w:szCs w:val="28"/>
          <w:lang w:val="el-GR"/>
        </w:rPr>
        <w:t>Προβλήθηκε, επίσης, η θέση ότι το πρωτόδικο Δικαστήριο εσφαλμένα αξιολόγησε την αξιοπιστία των μαρτύρων στη βάση του κριτηρίου των πιθανοτήτων και όχι με βάση τις εκτιμήσεις του για αυτή τούτη την αξιοπιστία τους.</w:t>
      </w:r>
    </w:p>
    <w:p w14:paraId="0128BF45" w14:textId="77777777" w:rsidR="001372DF" w:rsidRDefault="001372DF" w:rsidP="001372DF">
      <w:pPr>
        <w:spacing w:line="480" w:lineRule="auto"/>
        <w:jc w:val="both"/>
        <w:rPr>
          <w:rFonts w:ascii="Bookman Old Style" w:hAnsi="Bookman Old Style"/>
          <w:sz w:val="28"/>
          <w:szCs w:val="28"/>
          <w:lang w:val="el-GR"/>
        </w:rPr>
      </w:pPr>
    </w:p>
    <w:p w14:paraId="52058104" w14:textId="33F4B905" w:rsidR="001372DF" w:rsidRDefault="001372DF" w:rsidP="009F7C5D">
      <w:pPr>
        <w:overflowPunct w:val="0"/>
        <w:spacing w:line="480" w:lineRule="auto"/>
        <w:ind w:right="62"/>
        <w:jc w:val="both"/>
        <w:rPr>
          <w:rFonts w:ascii="Bookman Old Style" w:hAnsi="Bookman Old Style"/>
          <w:sz w:val="28"/>
          <w:szCs w:val="28"/>
          <w:lang w:val="el-GR"/>
        </w:rPr>
      </w:pPr>
      <w:r w:rsidRPr="001372DF">
        <w:rPr>
          <w:rFonts w:ascii="Bookman Old Style" w:hAnsi="Bookman Old Style"/>
          <w:sz w:val="28"/>
          <w:szCs w:val="28"/>
          <w:lang w:val="el-GR"/>
        </w:rPr>
        <w:t xml:space="preserve">Η πιο πάνω θέση, με κάθε σεβασμό, στερείται οποιουδήποτε ερείσματος. Όπως είναι πάγια </w:t>
      </w:r>
      <w:proofErr w:type="spellStart"/>
      <w:r w:rsidRPr="001372DF">
        <w:rPr>
          <w:rFonts w:ascii="Bookman Old Style" w:hAnsi="Bookman Old Style"/>
          <w:sz w:val="28"/>
          <w:szCs w:val="28"/>
          <w:lang w:val="el-GR"/>
        </w:rPr>
        <w:t>νομολογημένο</w:t>
      </w:r>
      <w:proofErr w:type="spellEnd"/>
      <w:r w:rsidRPr="001372DF">
        <w:rPr>
          <w:rFonts w:ascii="Bookman Old Style" w:hAnsi="Bookman Old Style"/>
          <w:sz w:val="28"/>
          <w:szCs w:val="28"/>
          <w:lang w:val="el-GR"/>
        </w:rPr>
        <w:t xml:space="preserve">, η αποτίμηση της μαρτυρίας του κάθε μάρτυρα δεν </w:t>
      </w:r>
      <w:proofErr w:type="spellStart"/>
      <w:r w:rsidRPr="001372DF">
        <w:rPr>
          <w:rFonts w:ascii="Bookman Old Style" w:hAnsi="Bookman Old Style"/>
          <w:sz w:val="28"/>
          <w:szCs w:val="28"/>
          <w:lang w:val="el-GR"/>
        </w:rPr>
        <w:t>μετράται</w:t>
      </w:r>
      <w:proofErr w:type="spellEnd"/>
      <w:r w:rsidRPr="001372DF">
        <w:rPr>
          <w:rFonts w:ascii="Bookman Old Style" w:hAnsi="Bookman Old Style"/>
          <w:sz w:val="28"/>
          <w:szCs w:val="28"/>
          <w:lang w:val="el-GR"/>
        </w:rPr>
        <w:t xml:space="preserve"> με το ισοζύγιο των πιθανοτήτων, αλλά συμφώνως της κρίσης του Δικαστηρίου για το αξιόπιστο της μαρτυρίας του.</w:t>
      </w:r>
      <w:r>
        <w:rPr>
          <w:rFonts w:ascii="Bookman Old Style" w:hAnsi="Bookman Old Style"/>
          <w:sz w:val="28"/>
          <w:szCs w:val="28"/>
          <w:lang w:val="el-GR"/>
        </w:rPr>
        <w:t xml:space="preserve"> Και είναι </w:t>
      </w:r>
      <w:r>
        <w:rPr>
          <w:rFonts w:ascii="Bookman Old Style" w:hAnsi="Bookman Old Style"/>
          <w:sz w:val="28"/>
          <w:szCs w:val="28"/>
          <w:lang w:val="el-GR"/>
        </w:rPr>
        <w:lastRenderedPageBreak/>
        <w:t xml:space="preserve">με βάση αυτή, την ορθή προσέγγιση, που το πρωτόδικο Δικαστήριο αποτίμησε την προσαχθείσα μαρτυρία για να καταλήξει ως προς την αξιοπιστία της. </w:t>
      </w:r>
      <w:r w:rsidRPr="001372DF">
        <w:rPr>
          <w:rFonts w:ascii="Bookman Old Style" w:hAnsi="Bookman Old Style"/>
          <w:sz w:val="28"/>
          <w:szCs w:val="28"/>
          <w:lang w:val="el-GR"/>
        </w:rPr>
        <w:t xml:space="preserve">Αν το πρωτόδικο Δικαστήριο ενεργούσε με βάση την πιο πάνω εισήγηση του </w:t>
      </w:r>
      <w:proofErr w:type="spellStart"/>
      <w:r w:rsidRPr="001372DF">
        <w:rPr>
          <w:rFonts w:ascii="Bookman Old Style" w:hAnsi="Bookman Old Style"/>
          <w:sz w:val="28"/>
          <w:szCs w:val="28"/>
          <w:lang w:val="el-GR"/>
        </w:rPr>
        <w:t>Εφεσείοντα</w:t>
      </w:r>
      <w:proofErr w:type="spellEnd"/>
      <w:r w:rsidRPr="001372DF">
        <w:rPr>
          <w:rFonts w:ascii="Bookman Old Style" w:hAnsi="Bookman Old Style"/>
          <w:sz w:val="28"/>
          <w:szCs w:val="28"/>
          <w:lang w:val="el-GR"/>
        </w:rPr>
        <w:t xml:space="preserve">, θα είχε διαπράξει το λάθος που εντοπίστηκε στην υπόθεση </w:t>
      </w:r>
      <w:r w:rsidRPr="001372DF">
        <w:rPr>
          <w:rFonts w:ascii="Bookman Old Style" w:hAnsi="Bookman Old Style"/>
          <w:b/>
          <w:bCs/>
          <w:i/>
          <w:iCs/>
          <w:sz w:val="28"/>
          <w:szCs w:val="28"/>
          <w:lang w:val="el-GR"/>
        </w:rPr>
        <w:t xml:space="preserve">Αθανασίου κ.ά. ν. </w:t>
      </w:r>
      <w:proofErr w:type="spellStart"/>
      <w:r w:rsidRPr="001372DF">
        <w:rPr>
          <w:rFonts w:ascii="Bookman Old Style" w:hAnsi="Bookman Old Style"/>
          <w:b/>
          <w:bCs/>
          <w:i/>
          <w:iCs/>
          <w:sz w:val="28"/>
          <w:szCs w:val="28"/>
          <w:lang w:val="el-GR"/>
        </w:rPr>
        <w:t>Κουνούνη</w:t>
      </w:r>
      <w:proofErr w:type="spellEnd"/>
      <w:r w:rsidRPr="001372DF">
        <w:rPr>
          <w:rFonts w:ascii="Bookman Old Style" w:hAnsi="Bookman Old Style"/>
          <w:b/>
          <w:bCs/>
          <w:i/>
          <w:iCs/>
          <w:sz w:val="28"/>
          <w:szCs w:val="28"/>
          <w:lang w:val="el-GR"/>
        </w:rPr>
        <w:t xml:space="preserve"> (1997) </w:t>
      </w:r>
      <w:r w:rsidR="003D0680">
        <w:rPr>
          <w:rFonts w:ascii="Bookman Old Style" w:hAnsi="Bookman Old Style"/>
          <w:b/>
          <w:bCs/>
          <w:i/>
          <w:iCs/>
          <w:sz w:val="28"/>
          <w:szCs w:val="28"/>
          <w:lang w:val="el-GR"/>
        </w:rPr>
        <w:t xml:space="preserve">                        </w:t>
      </w:r>
      <w:r w:rsidRPr="001372DF">
        <w:rPr>
          <w:rFonts w:ascii="Bookman Old Style" w:hAnsi="Bookman Old Style"/>
          <w:b/>
          <w:bCs/>
          <w:i/>
          <w:iCs/>
          <w:sz w:val="28"/>
          <w:szCs w:val="28"/>
          <w:lang w:val="el-GR"/>
        </w:rPr>
        <w:t>1 Α.Α.Δ. 614</w:t>
      </w:r>
      <w:r w:rsidRPr="001372DF">
        <w:rPr>
          <w:rFonts w:ascii="Bookman Old Style" w:hAnsi="Bookman Old Style"/>
          <w:sz w:val="28"/>
          <w:szCs w:val="28"/>
          <w:lang w:val="el-GR"/>
        </w:rPr>
        <w:t xml:space="preserve">, να κρίνει, δηλαδή, το Δικαστήριο την αξιοπιστία των μαρτύρων, βάσει του ισοζυγίου των πιθανοτήτων. Ως σημειώθηκε στην υπόθεση </w:t>
      </w:r>
      <w:proofErr w:type="spellStart"/>
      <w:r w:rsidRPr="001372DF">
        <w:rPr>
          <w:rFonts w:ascii="Bookman Old Style" w:hAnsi="Bookman Old Style"/>
          <w:b/>
          <w:bCs/>
          <w:i/>
          <w:iCs/>
          <w:sz w:val="28"/>
          <w:szCs w:val="28"/>
          <w:lang w:val="el-GR"/>
        </w:rPr>
        <w:t>Κουνούνη</w:t>
      </w:r>
      <w:proofErr w:type="spellEnd"/>
      <w:r w:rsidRPr="001372DF">
        <w:rPr>
          <w:rFonts w:ascii="Bookman Old Style" w:hAnsi="Bookman Old Style"/>
          <w:sz w:val="28"/>
          <w:szCs w:val="28"/>
          <w:lang w:val="el-GR"/>
        </w:rPr>
        <w:t xml:space="preserve"> (πιο πάνω):</w:t>
      </w:r>
    </w:p>
    <w:p w14:paraId="2CCFB6AF" w14:textId="77777777" w:rsidR="009F7C5D" w:rsidRPr="001372DF" w:rsidRDefault="009F7C5D" w:rsidP="009F7C5D">
      <w:pPr>
        <w:overflowPunct w:val="0"/>
        <w:spacing w:line="480" w:lineRule="auto"/>
        <w:ind w:right="62"/>
        <w:jc w:val="both"/>
        <w:rPr>
          <w:rFonts w:ascii="Bookman Old Style" w:hAnsi="Bookman Old Style"/>
          <w:sz w:val="28"/>
          <w:szCs w:val="28"/>
        </w:rPr>
      </w:pPr>
    </w:p>
    <w:p w14:paraId="2265ACE3" w14:textId="0280EA14" w:rsidR="001372DF" w:rsidRPr="0031743C" w:rsidRDefault="001372DF" w:rsidP="009F7C5D">
      <w:pPr>
        <w:overflowPunct w:val="0"/>
        <w:spacing w:line="276" w:lineRule="auto"/>
        <w:ind w:left="426" w:right="390"/>
        <w:jc w:val="both"/>
        <w:rPr>
          <w:rFonts w:ascii="Bookman Old Style" w:hAnsi="Bookman Old Style"/>
          <w:sz w:val="28"/>
          <w:szCs w:val="28"/>
          <w:lang w:val="el-GR"/>
        </w:rPr>
      </w:pPr>
      <w:r w:rsidRPr="001372DF">
        <w:rPr>
          <w:rFonts w:ascii="Bookman Old Style" w:hAnsi="Bookman Old Style"/>
          <w:sz w:val="28"/>
          <w:szCs w:val="28"/>
          <w:lang w:val="el-GR"/>
        </w:rPr>
        <w:t>«</w:t>
      </w:r>
      <w:r w:rsidRPr="001372DF">
        <w:rPr>
          <w:rFonts w:ascii="Bookman Old Style" w:hAnsi="Bookman Old Style"/>
          <w:i/>
          <w:iCs/>
          <w:sz w:val="28"/>
          <w:szCs w:val="28"/>
          <w:lang w:val="el-GR"/>
        </w:rPr>
        <w:t xml:space="preserve">Παρόλο που σε πολλές αγγλικές αποφάσεις γίνεται αναφορά στην απόσειση του ισοζυγίου των πιθανοτήτων σε συσχετισμό με τη μαρτυρία, σε καμμιά απόφαση δεν αμβλύνεται η διάκριση μεταξύ αξιοπιστίας των μαρτύρων και του ισοζυγίου των πιθανοτήτων. </w:t>
      </w:r>
      <w:r w:rsidRPr="0031743C">
        <w:rPr>
          <w:rFonts w:ascii="Bookman Old Style" w:hAnsi="Bookman Old Style"/>
          <w:i/>
          <w:iCs/>
          <w:sz w:val="28"/>
          <w:szCs w:val="28"/>
          <w:lang w:val="el-GR"/>
        </w:rPr>
        <w:t xml:space="preserve">Το θέμα άλλωστε της κρίσης της αξιοπιστίας των μαρτύρων ανήκε, πατροπαράδοτα, κατά το </w:t>
      </w:r>
      <w:proofErr w:type="spellStart"/>
      <w:r w:rsidRPr="0031743C">
        <w:rPr>
          <w:rFonts w:ascii="Bookman Old Style" w:hAnsi="Bookman Old Style"/>
          <w:i/>
          <w:iCs/>
          <w:sz w:val="28"/>
          <w:szCs w:val="28"/>
          <w:lang w:val="el-GR"/>
        </w:rPr>
        <w:t>κοινοδίκαιο</w:t>
      </w:r>
      <w:proofErr w:type="spellEnd"/>
      <w:r w:rsidRPr="0031743C">
        <w:rPr>
          <w:rFonts w:ascii="Bookman Old Style" w:hAnsi="Bookman Old Style"/>
          <w:i/>
          <w:iCs/>
          <w:sz w:val="28"/>
          <w:szCs w:val="28"/>
          <w:lang w:val="el-GR"/>
        </w:rPr>
        <w:t xml:space="preserve">, στους ενόρκους, οι οποίοι αποφάσιζαν, ανάλογα με την κρίση τους, για το πιστευτό των μαρτύρων. Αναξιόπιστη μαρτυρία δεν αποτελεί αποδεικτικό υλικό. Δεν αποδεικνύει τίποτε. Μόνο αξιόπιστη μαρτυρία βαρύνει στην πλάστιγγα των πιθανοτήτων. Η αποτίμηση της μαρτυρίας του κάθε μάρτυρα δεν </w:t>
      </w:r>
      <w:proofErr w:type="spellStart"/>
      <w:r w:rsidRPr="0031743C">
        <w:rPr>
          <w:rFonts w:ascii="Bookman Old Style" w:hAnsi="Bookman Old Style"/>
          <w:i/>
          <w:iCs/>
          <w:sz w:val="28"/>
          <w:szCs w:val="28"/>
          <w:lang w:val="el-GR"/>
        </w:rPr>
        <w:t>μετράται</w:t>
      </w:r>
      <w:proofErr w:type="spellEnd"/>
      <w:r w:rsidRPr="0031743C">
        <w:rPr>
          <w:rFonts w:ascii="Bookman Old Style" w:hAnsi="Bookman Old Style"/>
          <w:i/>
          <w:iCs/>
          <w:sz w:val="28"/>
          <w:szCs w:val="28"/>
          <w:lang w:val="el-GR"/>
        </w:rPr>
        <w:t xml:space="preserve"> με το ισοζύγιο των πιθανοτήτων αλλά, με την κρίση του Δικαστηρίου για το αξιόπιστο της μαρτυρίας του. Απίθανη, κατά τη συνήθη ροή των πραγμάτων εκδοχή, γίνεται παραδεχτή, εφόσον ο μάρτυρας κρίνεται αξιόπιστος• και αντίθετα, εκδοχή πιθανολογούμενη ως ορθή απορρίπτεται, εφόσον ο μάρτυρας κρίνεται αναξιόπιστος.»</w:t>
      </w:r>
      <w:r w:rsidRPr="0031743C">
        <w:rPr>
          <w:rFonts w:ascii="Bookman Old Style" w:hAnsi="Bookman Old Style"/>
          <w:sz w:val="28"/>
          <w:szCs w:val="28"/>
          <w:lang w:val="el-GR"/>
        </w:rPr>
        <w:t xml:space="preserve"> </w:t>
      </w:r>
    </w:p>
    <w:p w14:paraId="31A64A92" w14:textId="77777777" w:rsidR="001372DF" w:rsidRPr="001372DF" w:rsidRDefault="001372DF" w:rsidP="001372DF">
      <w:pPr>
        <w:pStyle w:val="apapaoi0"/>
        <w:overflowPunct w:val="0"/>
        <w:spacing w:before="0" w:beforeAutospacing="0" w:after="0" w:afterAutospacing="0" w:line="276" w:lineRule="auto"/>
        <w:ind w:right="62"/>
        <w:jc w:val="both"/>
        <w:rPr>
          <w:rFonts w:ascii="Bookman Old Style" w:hAnsi="Bookman Old Style"/>
          <w:sz w:val="28"/>
          <w:szCs w:val="28"/>
        </w:rPr>
      </w:pPr>
      <w:r w:rsidRPr="001372DF">
        <w:rPr>
          <w:rFonts w:ascii="Bookman Old Style" w:hAnsi="Bookman Old Style"/>
          <w:sz w:val="28"/>
          <w:szCs w:val="28"/>
        </w:rPr>
        <w:t> </w:t>
      </w:r>
    </w:p>
    <w:p w14:paraId="276D5565" w14:textId="77777777" w:rsidR="001372DF" w:rsidRPr="001372DF" w:rsidRDefault="001372DF" w:rsidP="001372DF">
      <w:pPr>
        <w:spacing w:line="276" w:lineRule="auto"/>
        <w:jc w:val="both"/>
        <w:rPr>
          <w:rFonts w:ascii="Bookman Old Style" w:hAnsi="Bookman Old Style"/>
          <w:sz w:val="28"/>
          <w:szCs w:val="28"/>
          <w:lang w:val="el-GR"/>
        </w:rPr>
      </w:pPr>
    </w:p>
    <w:p w14:paraId="55ACDF36" w14:textId="63FC0A09" w:rsidR="00D96137" w:rsidRDefault="00551F0C" w:rsidP="00136261">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Όσο δε αφορά τη μαρτυρία του αδελφού του </w:t>
      </w:r>
      <w:proofErr w:type="spellStart"/>
      <w:r>
        <w:rPr>
          <w:rFonts w:ascii="Bookman Old Style" w:hAnsi="Bookman Old Style"/>
          <w:sz w:val="28"/>
          <w:szCs w:val="28"/>
          <w:lang w:val="el-GR"/>
        </w:rPr>
        <w:t>Εφεσείοντα</w:t>
      </w:r>
      <w:proofErr w:type="spellEnd"/>
      <w:r>
        <w:rPr>
          <w:rFonts w:ascii="Bookman Old Style" w:hAnsi="Bookman Old Style"/>
          <w:sz w:val="28"/>
          <w:szCs w:val="28"/>
          <w:lang w:val="el-GR"/>
        </w:rPr>
        <w:t xml:space="preserve">, Μ.Ε.2, λαμβάνοντας υπόψη το περιεχόμενο της μαρτυρίας του </w:t>
      </w:r>
      <w:r w:rsidR="00673710">
        <w:rPr>
          <w:rFonts w:ascii="Bookman Old Style" w:hAnsi="Bookman Old Style"/>
          <w:sz w:val="28"/>
          <w:szCs w:val="28"/>
          <w:lang w:val="el-GR"/>
        </w:rPr>
        <w:t xml:space="preserve">η οποία αφορούσε </w:t>
      </w:r>
      <w:r w:rsidR="00673710">
        <w:rPr>
          <w:rFonts w:ascii="Bookman Old Style" w:hAnsi="Bookman Old Style"/>
          <w:sz w:val="28"/>
          <w:szCs w:val="28"/>
          <w:lang w:val="el-GR"/>
        </w:rPr>
        <w:lastRenderedPageBreak/>
        <w:t>σε προσπάθειες του ιδίου να εξαγοράσει τις μετοχές του Εφεσίβλητου 1 έναντι συγκεκριμένου ποσού και να τις μεταφέρει στη συνέχεια στον αδελφό του ή, εναλλακτικά, να αγοράσει ο Εφεσίβλητος 1 το μερίδιο του αδελφού του και πάλι έναντι συγκεκριμένου ποσού που καθόρισε</w:t>
      </w:r>
      <w:r w:rsidR="00A00021">
        <w:rPr>
          <w:rFonts w:ascii="Bookman Old Style" w:hAnsi="Bookman Old Style"/>
          <w:sz w:val="28"/>
          <w:szCs w:val="28"/>
          <w:lang w:val="el-GR"/>
        </w:rPr>
        <w:t xml:space="preserve">, </w:t>
      </w:r>
      <w:r w:rsidR="00673710">
        <w:rPr>
          <w:rFonts w:ascii="Bookman Old Style" w:hAnsi="Bookman Old Style"/>
          <w:sz w:val="28"/>
          <w:szCs w:val="28"/>
          <w:lang w:val="el-GR"/>
        </w:rPr>
        <w:t xml:space="preserve">η κατάληξη του πρωτόδικου Δικαστηρίου να μην την </w:t>
      </w:r>
      <w:proofErr w:type="spellStart"/>
      <w:r w:rsidR="00673710">
        <w:rPr>
          <w:rFonts w:ascii="Bookman Old Style" w:hAnsi="Bookman Old Style"/>
          <w:sz w:val="28"/>
          <w:szCs w:val="28"/>
          <w:lang w:val="el-GR"/>
        </w:rPr>
        <w:t>αποδεκτεί</w:t>
      </w:r>
      <w:proofErr w:type="spellEnd"/>
      <w:r w:rsidR="00673710">
        <w:rPr>
          <w:rFonts w:ascii="Bookman Old Style" w:hAnsi="Bookman Old Style"/>
          <w:sz w:val="28"/>
          <w:szCs w:val="28"/>
          <w:lang w:val="el-GR"/>
        </w:rPr>
        <w:t xml:space="preserve"> «</w:t>
      </w:r>
      <w:r w:rsidR="00673710" w:rsidRPr="00673710">
        <w:rPr>
          <w:rFonts w:ascii="Bookman Old Style" w:hAnsi="Bookman Old Style"/>
          <w:i/>
          <w:iCs/>
          <w:sz w:val="28"/>
          <w:szCs w:val="28"/>
          <w:lang w:val="el-GR"/>
        </w:rPr>
        <w:t>αφού τίποτα ουσιαστικό δεν ανέφερε στο Δικαστήριο</w:t>
      </w:r>
      <w:r w:rsidR="00673710">
        <w:rPr>
          <w:rFonts w:ascii="Bookman Old Style" w:hAnsi="Bookman Old Style"/>
          <w:sz w:val="28"/>
          <w:szCs w:val="28"/>
          <w:lang w:val="el-GR"/>
        </w:rPr>
        <w:t>»</w:t>
      </w:r>
      <w:r w:rsidR="00A00021">
        <w:rPr>
          <w:rFonts w:ascii="Bookman Old Style" w:hAnsi="Bookman Old Style"/>
          <w:sz w:val="28"/>
          <w:szCs w:val="28"/>
          <w:lang w:val="el-GR"/>
        </w:rPr>
        <w:t xml:space="preserve"> ήταν ακριβώς απότοκο του γεγονότος ότι δεν υπήρχε οτιδήποτε το σχετικό με τα επίδικα ζητήματα</w:t>
      </w:r>
      <w:r w:rsidR="00D96137">
        <w:rPr>
          <w:rFonts w:ascii="Bookman Old Style" w:hAnsi="Bookman Old Style"/>
          <w:sz w:val="28"/>
          <w:szCs w:val="28"/>
          <w:lang w:val="el-GR"/>
        </w:rPr>
        <w:t>.</w:t>
      </w:r>
    </w:p>
    <w:p w14:paraId="730DFA20" w14:textId="77777777" w:rsidR="003D0680" w:rsidRDefault="003D0680" w:rsidP="00136261">
      <w:pPr>
        <w:spacing w:line="480" w:lineRule="auto"/>
        <w:jc w:val="both"/>
        <w:rPr>
          <w:rFonts w:ascii="Bookman Old Style" w:hAnsi="Bookman Old Style"/>
          <w:sz w:val="28"/>
          <w:szCs w:val="28"/>
          <w:lang w:val="el-GR"/>
        </w:rPr>
      </w:pPr>
    </w:p>
    <w:p w14:paraId="4E697E9E" w14:textId="5719D8EE" w:rsidR="00136261" w:rsidRDefault="00136261" w:rsidP="00A00021">
      <w:pPr>
        <w:spacing w:line="480" w:lineRule="auto"/>
        <w:jc w:val="both"/>
        <w:rPr>
          <w:rFonts w:ascii="Bookman Old Style" w:hAnsi="Bookman Old Style"/>
          <w:sz w:val="28"/>
          <w:szCs w:val="28"/>
          <w:lang w:val="el-GR"/>
        </w:rPr>
      </w:pPr>
      <w:r>
        <w:rPr>
          <w:rFonts w:ascii="Bookman Old Style" w:hAnsi="Bookman Old Style"/>
          <w:sz w:val="28"/>
          <w:szCs w:val="28"/>
          <w:lang w:val="el-GR"/>
        </w:rPr>
        <w:t>Έχουμε εξετάσει τα σημεία στα οποία γίνεται αναφορά στην αιτιολογία του πιο πάνω Λόγου Έφεσης και έχουμε διεξέλθει τη μαρτυρία στο σύνολό της. Δε διαπιστώνουμε λόγο, που να δικαιολογεί επέμβασή μας για ανατροπή των διαπιστώσεων σε σχέση με την αξιολόγηση της μαρτυρίας. Τα όσα η συνήγορος επικαλέστηκε δεν αποτελούν παρά αποσπασματικές αναφορές οι οποίες, όμως, δεν αξιολογούνται κατ' απομόνωση αλλά στο πλαίσιο του συνόλου της μαρτυρίας.</w:t>
      </w:r>
    </w:p>
    <w:p w14:paraId="258E88FF" w14:textId="77777777" w:rsidR="00A00021" w:rsidRPr="0031743C" w:rsidRDefault="00A00021" w:rsidP="00A00021">
      <w:pPr>
        <w:spacing w:line="480" w:lineRule="auto"/>
        <w:jc w:val="both"/>
        <w:rPr>
          <w:lang w:val="el-GR"/>
        </w:rPr>
      </w:pPr>
    </w:p>
    <w:p w14:paraId="4094C006" w14:textId="3E6B2C90" w:rsidR="00D76026" w:rsidRDefault="00A00021" w:rsidP="00A00021">
      <w:pPr>
        <w:spacing w:line="480" w:lineRule="auto"/>
        <w:jc w:val="both"/>
        <w:rPr>
          <w:rFonts w:ascii="Bookman Old Style" w:hAnsi="Bookman Old Style" w:cs="Arial"/>
          <w:sz w:val="28"/>
          <w:szCs w:val="28"/>
          <w:lang w:val="el-GR"/>
        </w:rPr>
      </w:pPr>
      <w:r>
        <w:rPr>
          <w:rFonts w:ascii="Bookman Old Style" w:hAnsi="Bookman Old Style" w:cs="Arial"/>
          <w:sz w:val="28"/>
          <w:szCs w:val="28"/>
          <w:lang w:val="el-GR"/>
        </w:rPr>
        <w:t xml:space="preserve">Μέσω του </w:t>
      </w:r>
      <w:r>
        <w:rPr>
          <w:rFonts w:ascii="Bookman Old Style" w:hAnsi="Bookman Old Style" w:cs="Arial"/>
          <w:b/>
          <w:bCs/>
          <w:sz w:val="28"/>
          <w:szCs w:val="28"/>
          <w:lang w:val="el-GR"/>
        </w:rPr>
        <w:t>5</w:t>
      </w:r>
      <w:r w:rsidRPr="008A558E">
        <w:rPr>
          <w:rFonts w:ascii="Bookman Old Style" w:hAnsi="Bookman Old Style" w:cs="Arial"/>
          <w:b/>
          <w:bCs/>
          <w:sz w:val="28"/>
          <w:szCs w:val="28"/>
          <w:vertAlign w:val="superscript"/>
          <w:lang w:val="el-GR"/>
        </w:rPr>
        <w:t>ου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βάλλεται ως εσφαλμένη η αξιολόγηση της μαρτυρίας της Μ.Ε.3.</w:t>
      </w:r>
    </w:p>
    <w:p w14:paraId="74AF504F" w14:textId="77777777" w:rsidR="00A00021" w:rsidRPr="00D76026" w:rsidRDefault="00A00021" w:rsidP="00A00021">
      <w:pPr>
        <w:spacing w:line="480" w:lineRule="auto"/>
        <w:jc w:val="both"/>
        <w:rPr>
          <w:lang w:val="el-GR"/>
        </w:rPr>
      </w:pPr>
    </w:p>
    <w:p w14:paraId="3D737BAB" w14:textId="5D532D63" w:rsidR="00A00021" w:rsidRDefault="00A00021" w:rsidP="00A0002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Ισχυρίστηκε ο </w:t>
      </w:r>
      <w:proofErr w:type="spellStart"/>
      <w:r>
        <w:rPr>
          <w:rFonts w:ascii="Bookman Old Style" w:hAnsi="Bookman Old Style" w:cs="Arial"/>
          <w:sz w:val="28"/>
          <w:szCs w:val="28"/>
          <w:lang w:val="el-GR"/>
        </w:rPr>
        <w:t>Εφεσείων</w:t>
      </w:r>
      <w:proofErr w:type="spellEnd"/>
      <w:r>
        <w:rPr>
          <w:rFonts w:ascii="Bookman Old Style" w:hAnsi="Bookman Old Style" w:cs="Arial"/>
          <w:sz w:val="28"/>
          <w:szCs w:val="28"/>
          <w:lang w:val="el-GR"/>
        </w:rPr>
        <w:t xml:space="preserve"> ότι το πρωτόδικο Δικαστήριο παρέλειψε να λάβει υπόψη του τη μαρτυρία της Λειτουργού του ΦΠΑ, Μ.Ε.3 και το </w:t>
      </w:r>
      <w:r w:rsidRPr="00C119F0">
        <w:rPr>
          <w:rFonts w:ascii="Bookman Old Style" w:hAnsi="Bookman Old Style" w:cs="Arial"/>
          <w:b/>
          <w:bCs/>
          <w:sz w:val="28"/>
          <w:szCs w:val="28"/>
          <w:lang w:val="el-GR"/>
        </w:rPr>
        <w:t>Τεκμήριο 20</w:t>
      </w:r>
      <w:r>
        <w:rPr>
          <w:rFonts w:ascii="Bookman Old Style" w:hAnsi="Bookman Old Style" w:cs="Arial"/>
          <w:sz w:val="28"/>
          <w:szCs w:val="28"/>
          <w:lang w:val="el-GR"/>
        </w:rPr>
        <w:t xml:space="preserve"> που αφορούσε τις εκροές της Εταιρείας από το 2006 μέχρι το 2010 από </w:t>
      </w:r>
      <w:r>
        <w:rPr>
          <w:rFonts w:ascii="Bookman Old Style" w:hAnsi="Bookman Old Style" w:cs="Arial"/>
          <w:sz w:val="28"/>
          <w:szCs w:val="28"/>
          <w:lang w:val="el-GR"/>
        </w:rPr>
        <w:lastRenderedPageBreak/>
        <w:t xml:space="preserve">το οποίο, κατά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w:t>
      </w:r>
      <w:proofErr w:type="spellStart"/>
      <w:r>
        <w:rPr>
          <w:rFonts w:ascii="Bookman Old Style" w:hAnsi="Bookman Old Style" w:cs="Arial"/>
          <w:sz w:val="28"/>
          <w:szCs w:val="28"/>
          <w:lang w:val="el-GR"/>
        </w:rPr>
        <w:t>προέκυπτε</w:t>
      </w:r>
      <w:proofErr w:type="spellEnd"/>
      <w:r>
        <w:rPr>
          <w:rFonts w:ascii="Bookman Old Style" w:hAnsi="Bookman Old Style" w:cs="Arial"/>
          <w:sz w:val="28"/>
          <w:szCs w:val="28"/>
          <w:lang w:val="el-GR"/>
        </w:rPr>
        <w:t xml:space="preserve"> τεράστια αύξηση του κύκλου των εργασιών της Εταιρείας κατά τα έτη 2008 και 2009 σε σύγκριση με τα έτη 2006 και 2007.</w:t>
      </w:r>
    </w:p>
    <w:p w14:paraId="318483E1" w14:textId="77777777" w:rsidR="0048046A" w:rsidRDefault="0048046A" w:rsidP="00A00021">
      <w:pPr>
        <w:spacing w:line="480" w:lineRule="auto"/>
        <w:ind w:right="-35"/>
        <w:jc w:val="both"/>
        <w:rPr>
          <w:rFonts w:ascii="Bookman Old Style" w:hAnsi="Bookman Old Style" w:cs="Arial"/>
          <w:sz w:val="28"/>
          <w:szCs w:val="28"/>
          <w:lang w:val="el-GR"/>
        </w:rPr>
      </w:pPr>
    </w:p>
    <w:p w14:paraId="734066AF" w14:textId="53BE215C" w:rsidR="00A00021" w:rsidRDefault="00A00021" w:rsidP="00A0002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Το πρωτόδικο Δικαστήριο αναφερόμενο στη μαρτυρία της Μ.Ε.3 ανέφερε τα ακόλουθα:</w:t>
      </w:r>
    </w:p>
    <w:p w14:paraId="08B04741" w14:textId="77777777" w:rsidR="00A00021" w:rsidRDefault="00A00021" w:rsidP="00A00021">
      <w:pPr>
        <w:spacing w:line="480" w:lineRule="auto"/>
        <w:ind w:right="-35"/>
        <w:jc w:val="both"/>
        <w:rPr>
          <w:rFonts w:ascii="Bookman Old Style" w:hAnsi="Bookman Old Style" w:cs="Arial"/>
          <w:sz w:val="28"/>
          <w:szCs w:val="28"/>
          <w:lang w:val="el-GR"/>
        </w:rPr>
      </w:pPr>
    </w:p>
    <w:p w14:paraId="6DAA4FDE" w14:textId="30997458" w:rsidR="00A00021" w:rsidRPr="000C1B94" w:rsidRDefault="00A00021" w:rsidP="00A00021">
      <w:pPr>
        <w:spacing w:line="276" w:lineRule="auto"/>
        <w:ind w:left="426" w:right="390"/>
        <w:jc w:val="both"/>
        <w:rPr>
          <w:rFonts w:ascii="Bookman Old Style" w:hAnsi="Bookman Old Style" w:cs="Arial"/>
          <w:sz w:val="28"/>
          <w:szCs w:val="28"/>
          <w:lang w:val="el-GR"/>
        </w:rPr>
      </w:pPr>
      <w:r w:rsidRPr="000C1B94">
        <w:rPr>
          <w:rFonts w:ascii="Bookman Old Style" w:hAnsi="Bookman Old Style" w:cs="Arial"/>
          <w:sz w:val="28"/>
          <w:szCs w:val="28"/>
          <w:lang w:val="el-GR"/>
        </w:rPr>
        <w:t>«</w:t>
      </w:r>
      <w:proofErr w:type="spellStart"/>
      <w:r w:rsidRPr="000C1B94">
        <w:rPr>
          <w:rFonts w:ascii="Bookman Old Style" w:hAnsi="Bookman Old Style" w:cs="Arial"/>
          <w:sz w:val="28"/>
          <w:szCs w:val="28"/>
          <w:lang w:val="el-GR"/>
        </w:rPr>
        <w:t>Αντεξετασθείσα</w:t>
      </w:r>
      <w:proofErr w:type="spellEnd"/>
      <w:r w:rsidRPr="000C1B94">
        <w:rPr>
          <w:rFonts w:ascii="Bookman Old Style" w:hAnsi="Bookman Old Style" w:cs="Arial"/>
          <w:sz w:val="28"/>
          <w:szCs w:val="28"/>
          <w:lang w:val="el-GR"/>
        </w:rPr>
        <w:t>, ισχυρίστηκε ότι η ίδια δεν μπορούσε να γνωρίζει το κέρδος της συγκεκριμένης Εταιρείας την συγκεκριμένη περίοδο. Όμως, γνώριζε ότι η Υπηρεσία Φ.Π.Α. είχε προχωρήσει ποινικά εναντίον της Εταιρείας για τη μη καταβολή των οφειλών της σε σχέση με το οφειλόμενο Φ.Π.Α.»</w:t>
      </w:r>
    </w:p>
    <w:p w14:paraId="18AB3574" w14:textId="77777777" w:rsidR="00C975CB" w:rsidRPr="000C1B94" w:rsidRDefault="00C975CB" w:rsidP="00A00021">
      <w:pPr>
        <w:spacing w:line="276" w:lineRule="auto"/>
        <w:ind w:left="426" w:right="390"/>
        <w:jc w:val="both"/>
        <w:rPr>
          <w:rFonts w:ascii="Bookman Old Style" w:hAnsi="Bookman Old Style" w:cs="Arial"/>
          <w:sz w:val="28"/>
          <w:szCs w:val="28"/>
          <w:lang w:val="el-GR"/>
        </w:rPr>
      </w:pPr>
    </w:p>
    <w:p w14:paraId="39C6EDE3" w14:textId="77777777" w:rsidR="00A00021" w:rsidRDefault="00A00021" w:rsidP="00A00021">
      <w:pPr>
        <w:spacing w:line="276" w:lineRule="auto"/>
        <w:ind w:left="426" w:right="390"/>
        <w:jc w:val="both"/>
        <w:rPr>
          <w:rFonts w:ascii="Bookman Old Style" w:hAnsi="Bookman Old Style" w:cs="Arial"/>
          <w:sz w:val="26"/>
          <w:szCs w:val="26"/>
          <w:lang w:val="el-GR"/>
        </w:rPr>
      </w:pPr>
    </w:p>
    <w:p w14:paraId="1FA0E938" w14:textId="77777777" w:rsidR="00A00021" w:rsidRDefault="00A00021" w:rsidP="00A00021">
      <w:pPr>
        <w:spacing w:line="276" w:lineRule="auto"/>
        <w:ind w:right="391"/>
        <w:jc w:val="both"/>
        <w:rPr>
          <w:rFonts w:ascii="Bookman Old Style" w:hAnsi="Bookman Old Style" w:cs="Arial"/>
          <w:sz w:val="28"/>
          <w:szCs w:val="28"/>
          <w:lang w:val="el-GR"/>
        </w:rPr>
      </w:pPr>
      <w:r>
        <w:rPr>
          <w:rFonts w:ascii="Bookman Old Style" w:hAnsi="Bookman Old Style" w:cs="Arial"/>
          <w:sz w:val="28"/>
          <w:szCs w:val="28"/>
          <w:lang w:val="el-GR"/>
        </w:rPr>
        <w:t>Στη συνέχεια, αξιολογώντας την εν λόγω μαρτυρία, επεσήμανε τα εξής:</w:t>
      </w:r>
    </w:p>
    <w:p w14:paraId="7B1FD551" w14:textId="77777777" w:rsidR="00A00021" w:rsidRDefault="00A00021" w:rsidP="00A00021">
      <w:pPr>
        <w:spacing w:line="276" w:lineRule="auto"/>
        <w:ind w:right="391"/>
        <w:jc w:val="both"/>
        <w:rPr>
          <w:rFonts w:ascii="Bookman Old Style" w:hAnsi="Bookman Old Style" w:cs="Arial"/>
          <w:sz w:val="26"/>
          <w:szCs w:val="26"/>
          <w:lang w:val="el-GR"/>
        </w:rPr>
      </w:pPr>
    </w:p>
    <w:p w14:paraId="0F478BAD" w14:textId="77777777" w:rsidR="00A00021" w:rsidRPr="000C1B94" w:rsidRDefault="00A00021" w:rsidP="00A00021">
      <w:pPr>
        <w:spacing w:line="276" w:lineRule="auto"/>
        <w:ind w:left="426" w:right="391"/>
        <w:jc w:val="both"/>
        <w:rPr>
          <w:rFonts w:ascii="Bookman Old Style" w:hAnsi="Bookman Old Style" w:cs="Arial"/>
          <w:sz w:val="28"/>
          <w:szCs w:val="28"/>
          <w:lang w:val="el-GR"/>
        </w:rPr>
      </w:pPr>
    </w:p>
    <w:p w14:paraId="46C61A14" w14:textId="36CA61F0" w:rsidR="00A00021" w:rsidRDefault="00A00021" w:rsidP="00A00021">
      <w:pPr>
        <w:spacing w:line="276" w:lineRule="auto"/>
        <w:ind w:left="426" w:right="391"/>
        <w:jc w:val="both"/>
        <w:rPr>
          <w:rFonts w:ascii="Bookman Old Style" w:hAnsi="Bookman Old Style" w:cs="Arial"/>
          <w:sz w:val="26"/>
          <w:szCs w:val="26"/>
          <w:lang w:val="el-GR"/>
        </w:rPr>
      </w:pPr>
      <w:r w:rsidRPr="000C1B94">
        <w:rPr>
          <w:rFonts w:ascii="Arial" w:hAnsi="Arial" w:cs="Arial"/>
          <w:sz w:val="28"/>
          <w:szCs w:val="28"/>
          <w:lang w:val="el-GR"/>
        </w:rPr>
        <w:t>«</w:t>
      </w:r>
      <w:r w:rsidRPr="000C1B94">
        <w:rPr>
          <w:rFonts w:ascii="Bookman Old Style" w:hAnsi="Bookman Old Style" w:cs="Arial"/>
          <w:sz w:val="28"/>
          <w:szCs w:val="28"/>
          <w:lang w:val="el-GR"/>
        </w:rPr>
        <w:t xml:space="preserve">Ούτε και η μαρτυρία της </w:t>
      </w:r>
      <w:proofErr w:type="spellStart"/>
      <w:r w:rsidRPr="000C1B94">
        <w:rPr>
          <w:rFonts w:ascii="Bookman Old Style" w:hAnsi="Bookman Old Style" w:cs="Arial"/>
          <w:sz w:val="28"/>
          <w:szCs w:val="28"/>
          <w:lang w:val="el-GR"/>
        </w:rPr>
        <w:t>κας</w:t>
      </w:r>
      <w:proofErr w:type="spellEnd"/>
      <w:r w:rsidRPr="000C1B94">
        <w:rPr>
          <w:rFonts w:ascii="Bookman Old Style" w:hAnsi="Bookman Old Style" w:cs="Arial"/>
          <w:sz w:val="28"/>
          <w:szCs w:val="28"/>
          <w:lang w:val="el-GR"/>
        </w:rPr>
        <w:t xml:space="preserve"> Αθηνάς </w:t>
      </w:r>
      <w:proofErr w:type="spellStart"/>
      <w:r w:rsidRPr="000C1B94">
        <w:rPr>
          <w:rFonts w:ascii="Bookman Old Style" w:hAnsi="Bookman Old Style" w:cs="Arial"/>
          <w:sz w:val="28"/>
          <w:szCs w:val="28"/>
          <w:lang w:val="el-GR"/>
        </w:rPr>
        <w:t>Κώστη</w:t>
      </w:r>
      <w:proofErr w:type="spellEnd"/>
      <w:r w:rsidRPr="000C1B94">
        <w:rPr>
          <w:rFonts w:ascii="Bookman Old Style" w:hAnsi="Bookman Old Style" w:cs="Arial"/>
          <w:sz w:val="28"/>
          <w:szCs w:val="28"/>
          <w:lang w:val="el-GR"/>
        </w:rPr>
        <w:t>, (Μ.Ε.3), βοήθησε με οποιοδήποτε τρόπο την αξίωση του Ενάγοντα αφού η μάρτυρας δεν ήταν σε θέση να γνωρίζει οτιδήποτε σε σχέση με τις εισπράξεις της Εταιρείας</w:t>
      </w:r>
      <w:r w:rsidR="003D0680">
        <w:rPr>
          <w:rFonts w:ascii="Bookman Old Style" w:hAnsi="Bookman Old Style" w:cs="Arial"/>
          <w:sz w:val="28"/>
          <w:szCs w:val="28"/>
          <w:lang w:val="el-GR"/>
        </w:rPr>
        <w:t>.</w:t>
      </w:r>
      <w:r w:rsidRPr="00C119F0">
        <w:rPr>
          <w:rFonts w:ascii="Bookman Old Style" w:hAnsi="Bookman Old Style" w:cs="Arial"/>
          <w:sz w:val="26"/>
          <w:szCs w:val="26"/>
          <w:lang w:val="el-GR"/>
        </w:rPr>
        <w:t>» </w:t>
      </w:r>
    </w:p>
    <w:p w14:paraId="38E34DE1" w14:textId="77777777" w:rsidR="00A00021" w:rsidRDefault="00A00021" w:rsidP="00A00021">
      <w:pPr>
        <w:spacing w:line="276" w:lineRule="auto"/>
        <w:ind w:left="426" w:right="390"/>
        <w:jc w:val="both"/>
        <w:rPr>
          <w:rFonts w:ascii="Bookman Old Style" w:hAnsi="Bookman Old Style" w:cs="Arial"/>
          <w:sz w:val="26"/>
          <w:szCs w:val="26"/>
          <w:lang w:val="el-GR"/>
        </w:rPr>
      </w:pPr>
    </w:p>
    <w:p w14:paraId="032F77B3" w14:textId="77777777" w:rsidR="00A00021" w:rsidRPr="00C119F0" w:rsidRDefault="00A00021" w:rsidP="00A00021">
      <w:pPr>
        <w:spacing w:line="276" w:lineRule="auto"/>
        <w:ind w:left="426" w:right="390"/>
        <w:jc w:val="both"/>
        <w:rPr>
          <w:rFonts w:ascii="Bookman Old Style" w:hAnsi="Bookman Old Style" w:cs="Arial"/>
          <w:sz w:val="26"/>
          <w:szCs w:val="26"/>
          <w:lang w:val="el-GR"/>
        </w:rPr>
      </w:pPr>
    </w:p>
    <w:p w14:paraId="4F0FC207" w14:textId="611BC925" w:rsidR="00A00021" w:rsidRDefault="00A00021" w:rsidP="00A00021">
      <w:pPr>
        <w:spacing w:line="480" w:lineRule="auto"/>
        <w:ind w:right="-35"/>
        <w:jc w:val="both"/>
        <w:rPr>
          <w:rFonts w:ascii="Bookman Old Style" w:hAnsi="Bookman Old Style" w:cs="Arial"/>
          <w:sz w:val="28"/>
          <w:szCs w:val="28"/>
          <w:lang w:val="el-GR"/>
        </w:rPr>
      </w:pPr>
      <w:r w:rsidRPr="00DF6405">
        <w:rPr>
          <w:rFonts w:ascii="Bookman Old Style" w:hAnsi="Bookman Old Style" w:cs="Arial"/>
          <w:sz w:val="28"/>
          <w:szCs w:val="28"/>
          <w:lang w:val="el-GR"/>
        </w:rPr>
        <w:t xml:space="preserve">Είναι φανερό από τα όσα προβλήθηκαν από μέρους του </w:t>
      </w:r>
      <w:proofErr w:type="spellStart"/>
      <w:r w:rsidRPr="00DF6405">
        <w:rPr>
          <w:rFonts w:ascii="Bookman Old Style" w:hAnsi="Bookman Old Style" w:cs="Arial"/>
          <w:sz w:val="28"/>
          <w:szCs w:val="28"/>
          <w:lang w:val="el-GR"/>
        </w:rPr>
        <w:t>Εφεσείοντα</w:t>
      </w:r>
      <w:proofErr w:type="spellEnd"/>
      <w:r w:rsidRPr="00DF6405">
        <w:rPr>
          <w:rFonts w:ascii="Bookman Old Style" w:hAnsi="Bookman Old Style" w:cs="Arial"/>
          <w:sz w:val="28"/>
          <w:szCs w:val="28"/>
          <w:lang w:val="el-GR"/>
        </w:rPr>
        <w:t xml:space="preserve"> ότι υπάρχει μια σύγχυση μεταξύ της έννοιας του </w:t>
      </w:r>
      <w:r>
        <w:rPr>
          <w:rFonts w:ascii="Bookman Old Style" w:hAnsi="Bookman Old Style" w:cs="Arial"/>
          <w:sz w:val="28"/>
          <w:szCs w:val="28"/>
          <w:lang w:val="el-GR"/>
        </w:rPr>
        <w:t>«</w:t>
      </w:r>
      <w:r w:rsidRPr="00DF6405">
        <w:rPr>
          <w:rFonts w:ascii="Bookman Old Style" w:hAnsi="Bookman Old Style" w:cs="Arial"/>
          <w:i/>
          <w:iCs/>
          <w:sz w:val="28"/>
          <w:szCs w:val="28"/>
          <w:lang w:val="el-GR"/>
        </w:rPr>
        <w:t>κέρδους</w:t>
      </w:r>
      <w:r>
        <w:rPr>
          <w:rFonts w:ascii="Bookman Old Style" w:hAnsi="Bookman Old Style" w:cs="Arial"/>
          <w:sz w:val="28"/>
          <w:szCs w:val="28"/>
          <w:lang w:val="el-GR"/>
        </w:rPr>
        <w:t>»</w:t>
      </w:r>
      <w:r w:rsidRPr="00DF6405">
        <w:rPr>
          <w:rFonts w:ascii="Bookman Old Style" w:hAnsi="Bookman Old Style" w:cs="Arial"/>
          <w:sz w:val="28"/>
          <w:szCs w:val="28"/>
          <w:lang w:val="el-GR"/>
        </w:rPr>
        <w:t xml:space="preserve"> με την έννοια του </w:t>
      </w:r>
      <w:r>
        <w:rPr>
          <w:rFonts w:ascii="Bookman Old Style" w:hAnsi="Bookman Old Style" w:cs="Arial"/>
          <w:sz w:val="28"/>
          <w:szCs w:val="28"/>
          <w:lang w:val="el-GR"/>
        </w:rPr>
        <w:t>«</w:t>
      </w:r>
      <w:r w:rsidRPr="00DF6405">
        <w:rPr>
          <w:rFonts w:ascii="Bookman Old Style" w:hAnsi="Bookman Old Style" w:cs="Arial"/>
          <w:i/>
          <w:iCs/>
          <w:sz w:val="28"/>
          <w:szCs w:val="28"/>
          <w:lang w:val="el-GR"/>
        </w:rPr>
        <w:t>κύκλου εργασιών</w:t>
      </w:r>
      <w:r>
        <w:rPr>
          <w:rFonts w:ascii="Bookman Old Style" w:hAnsi="Bookman Old Style" w:cs="Arial"/>
          <w:sz w:val="28"/>
          <w:szCs w:val="28"/>
          <w:lang w:val="el-GR"/>
        </w:rPr>
        <w:t>»</w:t>
      </w:r>
      <w:r w:rsidRPr="00DF6405">
        <w:rPr>
          <w:rFonts w:ascii="Bookman Old Style" w:hAnsi="Bookman Old Style" w:cs="Arial"/>
          <w:sz w:val="28"/>
          <w:szCs w:val="28"/>
          <w:lang w:val="el-GR"/>
        </w:rPr>
        <w:t>.</w:t>
      </w:r>
      <w:r w:rsidR="002B6610">
        <w:rPr>
          <w:rFonts w:ascii="Bookman Old Style" w:hAnsi="Bookman Old Style" w:cs="Arial"/>
          <w:sz w:val="28"/>
          <w:szCs w:val="28"/>
          <w:lang w:val="el-GR"/>
        </w:rPr>
        <w:t xml:space="preserve"> </w:t>
      </w:r>
      <w:proofErr w:type="spellStart"/>
      <w:r w:rsidR="002B6610">
        <w:rPr>
          <w:rFonts w:ascii="Bookman Old Style" w:hAnsi="Bookman Old Style" w:cs="Arial"/>
          <w:sz w:val="28"/>
          <w:szCs w:val="28"/>
          <w:lang w:val="el-GR"/>
        </w:rPr>
        <w:t>Διεφάνη</w:t>
      </w:r>
      <w:proofErr w:type="spellEnd"/>
      <w:r w:rsidR="009F7C5D">
        <w:rPr>
          <w:rFonts w:ascii="Bookman Old Style" w:hAnsi="Bookman Old Style" w:cs="Arial"/>
          <w:sz w:val="28"/>
          <w:szCs w:val="28"/>
          <w:lang w:val="el-GR"/>
        </w:rPr>
        <w:t>,</w:t>
      </w:r>
      <w:r w:rsidR="002B6610">
        <w:rPr>
          <w:rFonts w:ascii="Bookman Old Style" w:hAnsi="Bookman Old Style" w:cs="Arial"/>
          <w:sz w:val="28"/>
          <w:szCs w:val="28"/>
          <w:lang w:val="el-GR"/>
        </w:rPr>
        <w:t xml:space="preserve"> δε</w:t>
      </w:r>
      <w:r w:rsidR="009F7C5D">
        <w:rPr>
          <w:rFonts w:ascii="Bookman Old Style" w:hAnsi="Bookman Old Style" w:cs="Arial"/>
          <w:sz w:val="28"/>
          <w:szCs w:val="28"/>
          <w:lang w:val="el-GR"/>
        </w:rPr>
        <w:t>,</w:t>
      </w:r>
      <w:r w:rsidR="002B6610">
        <w:rPr>
          <w:rFonts w:ascii="Bookman Old Style" w:hAnsi="Bookman Old Style" w:cs="Arial"/>
          <w:sz w:val="28"/>
          <w:szCs w:val="28"/>
          <w:lang w:val="el-GR"/>
        </w:rPr>
        <w:t xml:space="preserve"> από την προσαχθείσα μαρτυρία ότι η Μ.Ε.3 δεν ήτο σε θέση να γνωρίζει </w:t>
      </w:r>
      <w:r w:rsidR="002B6610" w:rsidRPr="000C1B94">
        <w:rPr>
          <w:rFonts w:ascii="Bookman Old Style" w:hAnsi="Bookman Old Style" w:cs="Arial"/>
          <w:sz w:val="28"/>
          <w:szCs w:val="28"/>
          <w:lang w:val="el-GR"/>
        </w:rPr>
        <w:t>οτιδήποτε σε σχέση με τις εισπράξεις</w:t>
      </w:r>
      <w:r w:rsidR="009F7C5D">
        <w:rPr>
          <w:rFonts w:ascii="Bookman Old Style" w:hAnsi="Bookman Old Style" w:cs="Arial"/>
          <w:sz w:val="28"/>
          <w:szCs w:val="28"/>
          <w:lang w:val="el-GR"/>
        </w:rPr>
        <w:t xml:space="preserve"> και τα κέρδη</w:t>
      </w:r>
      <w:r w:rsidR="002B6610" w:rsidRPr="000C1B94">
        <w:rPr>
          <w:rFonts w:ascii="Bookman Old Style" w:hAnsi="Bookman Old Style" w:cs="Arial"/>
          <w:sz w:val="28"/>
          <w:szCs w:val="28"/>
          <w:lang w:val="el-GR"/>
        </w:rPr>
        <w:t xml:space="preserve"> της Εταιρείας</w:t>
      </w:r>
      <w:r w:rsidR="009F7C5D">
        <w:rPr>
          <w:rFonts w:ascii="Bookman Old Style" w:hAnsi="Bookman Old Style" w:cs="Arial"/>
          <w:sz w:val="28"/>
          <w:szCs w:val="28"/>
          <w:lang w:val="el-GR"/>
        </w:rPr>
        <w:t xml:space="preserve"> κατά τις επίδικες περιόδους</w:t>
      </w:r>
      <w:r w:rsidR="002B6610">
        <w:rPr>
          <w:rFonts w:ascii="Bookman Old Style" w:hAnsi="Bookman Old Style" w:cs="Arial"/>
          <w:sz w:val="28"/>
          <w:szCs w:val="28"/>
          <w:lang w:val="el-GR"/>
        </w:rPr>
        <w:t>.</w:t>
      </w:r>
    </w:p>
    <w:p w14:paraId="77A01B10" w14:textId="77777777" w:rsidR="001372DF" w:rsidRPr="00DF6405" w:rsidRDefault="001372DF" w:rsidP="00A00021">
      <w:pPr>
        <w:spacing w:line="480" w:lineRule="auto"/>
        <w:ind w:right="-35"/>
        <w:jc w:val="both"/>
        <w:rPr>
          <w:rFonts w:ascii="Bookman Old Style" w:hAnsi="Bookman Old Style" w:cs="Arial"/>
          <w:sz w:val="28"/>
          <w:szCs w:val="28"/>
          <w:lang w:val="el-GR"/>
        </w:rPr>
      </w:pPr>
    </w:p>
    <w:p w14:paraId="733BB465" w14:textId="24396BEC" w:rsidR="00A00021" w:rsidRDefault="00A00021" w:rsidP="00A0002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Δεν διαπιστώνουμε οποιαδήποτε παράλειψη ή πλημμέλεια στην αξιολόγηση της μαρτυρίας της Μ.Ε.3.</w:t>
      </w:r>
    </w:p>
    <w:p w14:paraId="4A9230C5" w14:textId="77777777" w:rsidR="009F7C5D" w:rsidRPr="008915D0" w:rsidRDefault="009F7C5D" w:rsidP="00A00021">
      <w:pPr>
        <w:spacing w:line="480" w:lineRule="auto"/>
        <w:ind w:right="-35"/>
        <w:jc w:val="both"/>
        <w:rPr>
          <w:rFonts w:ascii="Bookman Old Style" w:hAnsi="Bookman Old Style" w:cs="Arial"/>
          <w:sz w:val="28"/>
          <w:szCs w:val="28"/>
          <w:lang w:val="el-GR"/>
        </w:rPr>
      </w:pPr>
    </w:p>
    <w:p w14:paraId="5272AABA" w14:textId="096F395B" w:rsidR="00D76026" w:rsidRDefault="00952DF8"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Με τον </w:t>
      </w:r>
      <w:r>
        <w:rPr>
          <w:rFonts w:ascii="Bookman Old Style" w:hAnsi="Bookman Old Style" w:cs="Arial"/>
          <w:b/>
          <w:bCs/>
          <w:sz w:val="28"/>
          <w:szCs w:val="28"/>
          <w:lang w:val="el-GR"/>
        </w:rPr>
        <w:t>6</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lang w:val="el-GR"/>
        </w:rPr>
        <w:t xml:space="preserve"> Λόγο Έφεσης</w:t>
      </w:r>
      <w:r>
        <w:rPr>
          <w:rFonts w:ascii="Bookman Old Style" w:hAnsi="Bookman Old Style" w:cs="Arial"/>
          <w:sz w:val="28"/>
          <w:szCs w:val="28"/>
          <w:lang w:val="el-GR"/>
        </w:rPr>
        <w:t xml:space="preserve"> προβάλλεται ότι λανθασμένα το πρωτόδικο Δικαστήριο κατέληξε ότι «</w:t>
      </w:r>
      <w:r w:rsidRPr="008A558E">
        <w:rPr>
          <w:rFonts w:ascii="Bookman Old Style" w:hAnsi="Bookman Old Style" w:cs="Arial"/>
          <w:i/>
          <w:iCs/>
          <w:sz w:val="28"/>
          <w:szCs w:val="28"/>
          <w:lang w:val="el-GR"/>
        </w:rPr>
        <w:t>ο Ενάγοντας δεν απέδειξε οποιαδήποτε ζημιά. Αντίθετα αυτό που διαφάνηκε είναι ότι είχε συμμετάσχει σε μια επιχειρηματική δραστηριότητα η οποία τελικά δεν απέφερε το αναμενόμενο κέρδος</w:t>
      </w:r>
      <w:r>
        <w:rPr>
          <w:rFonts w:ascii="Bookman Old Style" w:hAnsi="Bookman Old Style" w:cs="Arial"/>
          <w:sz w:val="28"/>
          <w:szCs w:val="28"/>
          <w:lang w:val="el-GR"/>
        </w:rPr>
        <w:t>».</w:t>
      </w:r>
    </w:p>
    <w:p w14:paraId="735F2084" w14:textId="77777777" w:rsidR="009D5233" w:rsidRDefault="009D5233" w:rsidP="005B4561">
      <w:pPr>
        <w:spacing w:line="480" w:lineRule="auto"/>
        <w:ind w:right="-35"/>
        <w:jc w:val="both"/>
        <w:rPr>
          <w:rFonts w:ascii="Bookman Old Style" w:hAnsi="Bookman Old Style" w:cs="Arial"/>
          <w:sz w:val="28"/>
          <w:szCs w:val="28"/>
          <w:lang w:val="el-GR"/>
        </w:rPr>
      </w:pPr>
    </w:p>
    <w:p w14:paraId="7FFC4650" w14:textId="60ED6229" w:rsidR="009D5233" w:rsidRDefault="009D5233" w:rsidP="005B4561">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 xml:space="preserve">Το πρωτόδικο Δικαστήριο, αφού αξιολόγησε τη μαρτυρία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και δεν την αποδέχτηκε, απορρίπτοντας, συνεπακόλουθα, την εκδοχή του </w:t>
      </w:r>
      <w:r w:rsidR="00D06ED7">
        <w:rPr>
          <w:rFonts w:ascii="Bookman Old Style" w:hAnsi="Bookman Old Style" w:cs="Arial"/>
          <w:sz w:val="28"/>
          <w:szCs w:val="28"/>
          <w:lang w:val="el-GR"/>
        </w:rPr>
        <w:t xml:space="preserve">όσον αφορά </w:t>
      </w:r>
      <w:r>
        <w:rPr>
          <w:rFonts w:ascii="Bookman Old Style" w:hAnsi="Bookman Old Style" w:cs="Arial"/>
          <w:sz w:val="28"/>
          <w:szCs w:val="28"/>
          <w:lang w:val="el-GR"/>
        </w:rPr>
        <w:t>τους λόγους που συμμετείχε στη συγκεκριμένη επιχειρηματική επένδυση, εύλογα κατέληξε στο ότι δεν μπορούσε να αξιώνει την οποιαδήποτε ζημιά, με βάση το ακόλουθο σκεπτικό:</w:t>
      </w:r>
    </w:p>
    <w:p w14:paraId="4615D396" w14:textId="77777777" w:rsidR="00952DF8" w:rsidRDefault="00952DF8" w:rsidP="005B4561">
      <w:pPr>
        <w:spacing w:line="480" w:lineRule="auto"/>
        <w:ind w:right="-35"/>
        <w:jc w:val="both"/>
        <w:rPr>
          <w:rFonts w:ascii="Bookman Old Style" w:hAnsi="Bookman Old Style" w:cs="Arial"/>
          <w:sz w:val="28"/>
          <w:szCs w:val="28"/>
          <w:lang w:val="el-GR"/>
        </w:rPr>
      </w:pPr>
    </w:p>
    <w:p w14:paraId="43B2FBAF" w14:textId="68BFF25F" w:rsidR="00952DF8" w:rsidRDefault="009D5233" w:rsidP="009D5233">
      <w:pPr>
        <w:spacing w:line="276" w:lineRule="auto"/>
        <w:ind w:left="426" w:right="390"/>
        <w:jc w:val="both"/>
        <w:rPr>
          <w:rFonts w:ascii="Bookman Old Style" w:hAnsi="Bookman Old Style"/>
          <w:color w:val="000000"/>
          <w:sz w:val="28"/>
          <w:szCs w:val="28"/>
          <w:lang w:val="el-GR"/>
        </w:rPr>
      </w:pPr>
      <w:r>
        <w:rPr>
          <w:rFonts w:ascii="Bookman Old Style" w:hAnsi="Bookman Old Style"/>
          <w:color w:val="000000"/>
          <w:sz w:val="26"/>
          <w:szCs w:val="26"/>
          <w:lang w:val="el-GR"/>
        </w:rPr>
        <w:t>«</w:t>
      </w:r>
      <w:r w:rsidR="00952DF8" w:rsidRPr="000C1B94">
        <w:rPr>
          <w:rFonts w:ascii="Bookman Old Style" w:hAnsi="Bookman Old Style"/>
          <w:color w:val="000000"/>
          <w:sz w:val="28"/>
          <w:szCs w:val="28"/>
          <w:lang w:val="el-GR"/>
        </w:rPr>
        <w:t xml:space="preserve">Ο Ενάγοντας δεν εξαπατήθηκε ούτε και πείσθηκε στην συμμετοχή του στην συγκεκριμένη επιχειρηματική επένδυση. Έκανε μια επένδυση την οποία ο ίδιος πίστευε ότι θα ήταν κερδοφόρα και στο τέλος αποδείχθηκε επιζήμια με αποτέλεσμα όχι μόνο να χάσουν και οι τρείς μέτοχοι τα λεφτά που είχαν επενδύσει, αλλά να είναι επίσης υπόλογοι και οι τρεις για το δάνειο που είχαν λάβει για σκοπούς της Εταιρείας. Οπόταν από πού προκύπτει η οποιαδήποτε οικειοποίηση περιουσίας της Εταιρείας δεν μπορεί να γίνει αντιληπτό. Αν ο Ενάγοντας εννοούσε τα περιουσιακά στοιχεία, ήτοι αντικείμενα, ο </w:t>
      </w:r>
      <w:r w:rsidR="00952DF8" w:rsidRPr="000C1B94">
        <w:rPr>
          <w:rFonts w:ascii="Bookman Old Style" w:hAnsi="Bookman Old Style"/>
          <w:color w:val="000000"/>
          <w:sz w:val="28"/>
          <w:szCs w:val="28"/>
          <w:lang w:val="el-GR"/>
        </w:rPr>
        <w:lastRenderedPageBreak/>
        <w:t>ίδιος τα είχε τοποθετήσει σε αποθήκη όπου βρίσκονταν μέχρι και την ακρόαση της αγωγής. Αν ο Ενάγοντας εννοούσε οικειοποίηση χρηματικού ποσού, ο ίδιος είχε καταβάλλει λεφτά στον Φίλιππο Αυξεντίου και όχι στον Εναγόμενο 1 ενώ σε σχέση με τα μερίσματα που προέκυψαν από την επιχείρηση τα είχαν μοιραστεί οι μέτοχοι με βάση το μετοχικό τους κεφάλαιο</w:t>
      </w:r>
      <w:r w:rsidR="003D0680">
        <w:rPr>
          <w:rFonts w:ascii="Bookman Old Style" w:hAnsi="Bookman Old Style"/>
          <w:color w:val="000000"/>
          <w:sz w:val="28"/>
          <w:szCs w:val="28"/>
          <w:lang w:val="el-GR"/>
        </w:rPr>
        <w:t>.</w:t>
      </w:r>
      <w:r w:rsidRPr="000C1B94">
        <w:rPr>
          <w:rFonts w:ascii="Bookman Old Style" w:hAnsi="Bookman Old Style"/>
          <w:color w:val="000000"/>
          <w:sz w:val="28"/>
          <w:szCs w:val="28"/>
          <w:lang w:val="el-GR"/>
        </w:rPr>
        <w:t>»</w:t>
      </w:r>
    </w:p>
    <w:p w14:paraId="75F3CA5D" w14:textId="77777777" w:rsidR="009F7C5D" w:rsidRPr="000C1B94" w:rsidRDefault="009F7C5D" w:rsidP="009D5233">
      <w:pPr>
        <w:spacing w:line="276" w:lineRule="auto"/>
        <w:ind w:left="426" w:right="390"/>
        <w:jc w:val="both"/>
        <w:rPr>
          <w:rFonts w:ascii="Bookman Old Style" w:hAnsi="Bookman Old Style"/>
          <w:color w:val="000000"/>
          <w:sz w:val="28"/>
          <w:szCs w:val="28"/>
          <w:lang w:val="el-GR"/>
        </w:rPr>
      </w:pPr>
    </w:p>
    <w:p w14:paraId="0CA841D2" w14:textId="77777777" w:rsidR="00C975CB" w:rsidRPr="000C1B94" w:rsidRDefault="00C975CB" w:rsidP="009D5233">
      <w:pPr>
        <w:spacing w:line="276" w:lineRule="auto"/>
        <w:ind w:left="426" w:right="390"/>
        <w:jc w:val="both"/>
        <w:rPr>
          <w:rFonts w:ascii="Bookman Old Style" w:hAnsi="Bookman Old Style"/>
          <w:color w:val="000000"/>
          <w:sz w:val="28"/>
          <w:szCs w:val="28"/>
          <w:lang w:val="el-GR"/>
        </w:rPr>
      </w:pPr>
    </w:p>
    <w:p w14:paraId="6B23727C" w14:textId="26C222AC" w:rsidR="00952DF8" w:rsidRDefault="00037AB6" w:rsidP="00037AB6">
      <w:pPr>
        <w:spacing w:line="480" w:lineRule="auto"/>
        <w:ind w:right="-35"/>
        <w:jc w:val="both"/>
        <w:rPr>
          <w:rFonts w:ascii="Bookman Old Style" w:hAnsi="Bookman Old Style" w:cs="Arial"/>
          <w:sz w:val="28"/>
          <w:szCs w:val="28"/>
          <w:lang w:val="el-GR"/>
        </w:rPr>
      </w:pPr>
      <w:r w:rsidRPr="00037AB6">
        <w:rPr>
          <w:rFonts w:ascii="Bookman Old Style" w:hAnsi="Bookman Old Style" w:cs="Arial"/>
          <w:sz w:val="28"/>
          <w:szCs w:val="28"/>
          <w:lang w:val="el-GR"/>
        </w:rPr>
        <w:t xml:space="preserve">Μάλιστα το πρωτόδικο Δικαστήριο </w:t>
      </w:r>
      <w:r>
        <w:rPr>
          <w:rFonts w:ascii="Bookman Old Style" w:hAnsi="Bookman Old Style" w:cs="Arial"/>
          <w:sz w:val="28"/>
          <w:szCs w:val="28"/>
          <w:lang w:val="el-GR"/>
        </w:rPr>
        <w:t xml:space="preserve">εξετάζοντας την υπόθεση και στη βάση ακόμη της ύπαρξης οποιασδήποτε εξαπάτησης ή απάτης ή ψευδούς παράστασης και πάλι διαπίστωσε, και ορθά προσθέτουμε εμείς, ότι δεν είχε αποδειχθεί η ύπαρξη αιτιώδους συνάφειας μεταξύ της ισχυριζόμενης ζημιάς και της ψευδούς παράστασης. </w:t>
      </w:r>
    </w:p>
    <w:p w14:paraId="3EFECB51" w14:textId="77777777" w:rsidR="009F7C5D" w:rsidRDefault="009F7C5D" w:rsidP="00037AB6">
      <w:pPr>
        <w:spacing w:line="480" w:lineRule="auto"/>
        <w:ind w:right="-35"/>
        <w:jc w:val="both"/>
        <w:rPr>
          <w:rFonts w:ascii="Bookman Old Style" w:hAnsi="Bookman Old Style" w:cs="Arial"/>
          <w:sz w:val="28"/>
          <w:szCs w:val="28"/>
          <w:lang w:val="el-GR"/>
        </w:rPr>
      </w:pPr>
    </w:p>
    <w:p w14:paraId="5268D23D" w14:textId="18B8FE41" w:rsidR="00037AB6" w:rsidRDefault="00037AB6" w:rsidP="00037AB6">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t>Παραθέτουμε τη σχετική περικοπή:</w:t>
      </w:r>
    </w:p>
    <w:p w14:paraId="301FF3D5" w14:textId="77777777" w:rsidR="00C975CB" w:rsidRPr="00037AB6" w:rsidRDefault="00C975CB" w:rsidP="00037AB6">
      <w:pPr>
        <w:spacing w:line="480" w:lineRule="auto"/>
        <w:ind w:right="-35"/>
        <w:jc w:val="both"/>
        <w:rPr>
          <w:rFonts w:ascii="Bookman Old Style" w:hAnsi="Bookman Old Style" w:cs="Arial"/>
          <w:sz w:val="28"/>
          <w:szCs w:val="28"/>
          <w:lang w:val="el-GR"/>
        </w:rPr>
      </w:pPr>
    </w:p>
    <w:p w14:paraId="79DAB7F7" w14:textId="50FB2FC2" w:rsidR="00952DF8" w:rsidRPr="000C1B94" w:rsidRDefault="00037AB6" w:rsidP="00037AB6">
      <w:pPr>
        <w:spacing w:line="276" w:lineRule="auto"/>
        <w:ind w:left="426" w:right="390"/>
        <w:jc w:val="both"/>
        <w:rPr>
          <w:rFonts w:ascii="Bookman Old Style" w:hAnsi="Bookman Old Style"/>
          <w:color w:val="000000"/>
          <w:sz w:val="28"/>
          <w:szCs w:val="28"/>
          <w:lang w:val="el-GR"/>
        </w:rPr>
      </w:pPr>
      <w:r w:rsidRPr="000C1B94">
        <w:rPr>
          <w:rFonts w:ascii="Bookman Old Style" w:hAnsi="Bookman Old Style"/>
          <w:color w:val="000000"/>
          <w:sz w:val="28"/>
          <w:szCs w:val="28"/>
          <w:lang w:val="el-GR"/>
        </w:rPr>
        <w:t>«</w:t>
      </w:r>
      <w:r w:rsidR="00952DF8" w:rsidRPr="000C1B94">
        <w:rPr>
          <w:rFonts w:ascii="Bookman Old Style" w:hAnsi="Bookman Old Style"/>
          <w:color w:val="000000"/>
          <w:sz w:val="28"/>
          <w:szCs w:val="28"/>
          <w:lang w:val="el-GR"/>
        </w:rPr>
        <w:t xml:space="preserve">Ο Ενάγοντας δεν απέδειξε οποιαδήποτε ζημιά. Αντίθετα αυτό που διαφάνηκε είναι ότι είχε συμμετάσχει σε μια επιχειρηματική δραστηριότητα η οποία τελικά δεν απέφερε το αναμενόμενο κέρδος με αποτέλεσμα όλοι οι συμμετέχοντες να αντιμετωπίζουν αγωγές από την Τράπεζα Κύπρου, η οποία είχε δανειοδοτήσει την Εταιρεία, τους είχε δανείσει λεφτά για την συγκεκριμένη επιχειρηματική δραστηριότητα, με την παραχώρηση προσωπικών εγγυήσεων και των τριών μετόχων στην Εταιρεία. Εν πάση </w:t>
      </w:r>
      <w:proofErr w:type="spellStart"/>
      <w:r w:rsidR="00952DF8" w:rsidRPr="000C1B94">
        <w:rPr>
          <w:rFonts w:ascii="Bookman Old Style" w:hAnsi="Bookman Old Style"/>
          <w:color w:val="000000"/>
          <w:sz w:val="28"/>
          <w:szCs w:val="28"/>
          <w:lang w:val="el-GR"/>
        </w:rPr>
        <w:t>περιπτώσει</w:t>
      </w:r>
      <w:proofErr w:type="spellEnd"/>
      <w:r w:rsidR="00952DF8" w:rsidRPr="000C1B94">
        <w:rPr>
          <w:rFonts w:ascii="Bookman Old Style" w:hAnsi="Bookman Old Style"/>
          <w:color w:val="000000"/>
          <w:sz w:val="28"/>
          <w:szCs w:val="28"/>
          <w:lang w:val="el-GR"/>
        </w:rPr>
        <w:t xml:space="preserve"> είχε παραδεχθεί ο Ενάγοντας ότι το υποστατικό χρειαζόταν ανακαίνιση καθώς επίσης και ότι όταν υπήρχαν κέρδη, όπως το 2007, οι τρείς τους είχαν μοιραστεί τα κέρδη</w:t>
      </w:r>
      <w:r w:rsidR="003D0680">
        <w:rPr>
          <w:rFonts w:ascii="Bookman Old Style" w:hAnsi="Bookman Old Style"/>
          <w:color w:val="000000"/>
          <w:sz w:val="28"/>
          <w:szCs w:val="28"/>
          <w:lang w:val="el-GR"/>
        </w:rPr>
        <w:t>.</w:t>
      </w:r>
      <w:r w:rsidRPr="000C1B94">
        <w:rPr>
          <w:rFonts w:ascii="Bookman Old Style" w:hAnsi="Bookman Old Style"/>
          <w:color w:val="000000"/>
          <w:sz w:val="28"/>
          <w:szCs w:val="28"/>
          <w:lang w:val="el-GR"/>
        </w:rPr>
        <w:t>»</w:t>
      </w:r>
    </w:p>
    <w:p w14:paraId="797469E6" w14:textId="77777777" w:rsidR="00D96137" w:rsidRPr="000C1B94" w:rsidRDefault="00D96137" w:rsidP="00037AB6">
      <w:pPr>
        <w:spacing w:line="276" w:lineRule="auto"/>
        <w:ind w:left="426" w:right="390"/>
        <w:jc w:val="both"/>
        <w:rPr>
          <w:rFonts w:ascii="Bookman Old Style" w:hAnsi="Bookman Old Style" w:cs="Arial"/>
          <w:sz w:val="28"/>
          <w:szCs w:val="28"/>
          <w:lang w:val="el-GR"/>
        </w:rPr>
      </w:pPr>
    </w:p>
    <w:p w14:paraId="41231792" w14:textId="77777777" w:rsidR="00D76026" w:rsidRPr="000C1B94" w:rsidRDefault="00D76026" w:rsidP="005B4561">
      <w:pPr>
        <w:spacing w:line="480" w:lineRule="auto"/>
        <w:ind w:right="-35"/>
        <w:jc w:val="both"/>
        <w:rPr>
          <w:rFonts w:ascii="Bookman Old Style" w:hAnsi="Bookman Old Style" w:cs="Arial"/>
          <w:b/>
          <w:sz w:val="28"/>
          <w:szCs w:val="28"/>
          <w:lang w:val="el-GR"/>
        </w:rPr>
      </w:pPr>
    </w:p>
    <w:p w14:paraId="38B24F1E" w14:textId="7C09302F" w:rsidR="00FF055A" w:rsidRDefault="00FF055A" w:rsidP="00FF055A">
      <w:pPr>
        <w:spacing w:line="480" w:lineRule="auto"/>
        <w:ind w:right="-35"/>
        <w:jc w:val="both"/>
        <w:rPr>
          <w:rFonts w:ascii="Bookman Old Style" w:hAnsi="Bookman Old Style" w:cs="Arial"/>
          <w:sz w:val="28"/>
          <w:szCs w:val="28"/>
          <w:lang w:val="el-GR"/>
        </w:rPr>
      </w:pPr>
      <w:r>
        <w:rPr>
          <w:rFonts w:ascii="Bookman Old Style" w:hAnsi="Bookman Old Style" w:cs="Arial"/>
          <w:sz w:val="28"/>
          <w:szCs w:val="28"/>
          <w:lang w:val="el-GR"/>
        </w:rPr>
        <w:lastRenderedPageBreak/>
        <w:t>Μέσω του</w:t>
      </w:r>
      <w:r>
        <w:rPr>
          <w:rFonts w:ascii="Bookman Old Style" w:hAnsi="Bookman Old Style" w:cs="Arial"/>
          <w:b/>
          <w:bCs/>
          <w:sz w:val="28"/>
          <w:szCs w:val="28"/>
          <w:lang w:val="el-GR"/>
        </w:rPr>
        <w:t xml:space="preserve"> 7</w:t>
      </w:r>
      <w:r w:rsidRPr="008A558E">
        <w:rPr>
          <w:rFonts w:ascii="Bookman Old Style" w:hAnsi="Bookman Old Style" w:cs="Arial"/>
          <w:b/>
          <w:bCs/>
          <w:sz w:val="28"/>
          <w:szCs w:val="28"/>
          <w:vertAlign w:val="superscript"/>
          <w:lang w:val="el-GR"/>
        </w:rPr>
        <w:t>ο</w:t>
      </w:r>
      <w:r>
        <w:rPr>
          <w:rFonts w:ascii="Bookman Old Style" w:hAnsi="Bookman Old Style" w:cs="Arial"/>
          <w:b/>
          <w:bCs/>
          <w:sz w:val="28"/>
          <w:szCs w:val="28"/>
          <w:vertAlign w:val="superscript"/>
          <w:lang w:val="el-GR"/>
        </w:rPr>
        <w:t>υ</w:t>
      </w:r>
      <w:r>
        <w:rPr>
          <w:rFonts w:ascii="Bookman Old Style" w:hAnsi="Bookman Old Style" w:cs="Arial"/>
          <w:b/>
          <w:bCs/>
          <w:sz w:val="28"/>
          <w:szCs w:val="28"/>
          <w:lang w:val="el-GR"/>
        </w:rPr>
        <w:t xml:space="preserve"> Λόγου Έφεσης</w:t>
      </w:r>
      <w:r>
        <w:rPr>
          <w:rFonts w:ascii="Bookman Old Style" w:hAnsi="Bookman Old Style" w:cs="Arial"/>
          <w:sz w:val="28"/>
          <w:szCs w:val="28"/>
          <w:lang w:val="el-GR"/>
        </w:rPr>
        <w:t xml:space="preserve"> προσβάλλεται  ως λανθασμένη η απόρριψη της αξίωσης του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για έκδοση διαταγμάτων, με τα οποία οι Εφεσίβλητοι 1 και 2 να υποχρεούνται να αποδώσουν στον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δεόντως ελεγμένους λογαριασμούς της Εταιρείας για την περίοδο Ιουλίου του 2007 μέχρι και το Μάρτιο του 2010, στη βάση της παράβασης του οφειλόμενου προς τον </w:t>
      </w:r>
      <w:proofErr w:type="spellStart"/>
      <w:r>
        <w:rPr>
          <w:rFonts w:ascii="Bookman Old Style" w:hAnsi="Bookman Old Style" w:cs="Arial"/>
          <w:sz w:val="28"/>
          <w:szCs w:val="28"/>
          <w:lang w:val="el-GR"/>
        </w:rPr>
        <w:t>Εφεσείοντα</w:t>
      </w:r>
      <w:proofErr w:type="spellEnd"/>
      <w:r>
        <w:rPr>
          <w:rFonts w:ascii="Bookman Old Style" w:hAnsi="Bookman Old Style" w:cs="Arial"/>
          <w:sz w:val="28"/>
          <w:szCs w:val="28"/>
          <w:lang w:val="el-GR"/>
        </w:rPr>
        <w:t xml:space="preserve"> καθήκοντος εμπιστοσύνης, καθώς και την καταβολή αντίστοιχου μερίσματος επί των κερδών της Εταιρείας για την αναφερόμενη περίοδο.</w:t>
      </w:r>
    </w:p>
    <w:p w14:paraId="1A21919E" w14:textId="77777777" w:rsidR="00FF055A" w:rsidRDefault="00FF055A" w:rsidP="00FF055A">
      <w:pPr>
        <w:spacing w:line="480" w:lineRule="auto"/>
        <w:ind w:right="-35"/>
        <w:jc w:val="both"/>
        <w:rPr>
          <w:rFonts w:ascii="Bookman Old Style" w:hAnsi="Bookman Old Style" w:cs="Arial"/>
          <w:sz w:val="28"/>
          <w:szCs w:val="28"/>
          <w:lang w:val="el-GR"/>
        </w:rPr>
      </w:pPr>
    </w:p>
    <w:p w14:paraId="587D6283" w14:textId="505B33B5" w:rsidR="00FF055A" w:rsidRDefault="00FF055A" w:rsidP="00E64348">
      <w:pPr>
        <w:spacing w:line="480" w:lineRule="auto"/>
        <w:ind w:right="-35"/>
        <w:jc w:val="both"/>
        <w:rPr>
          <w:rFonts w:ascii="Bookman Old Style" w:hAnsi="Bookman Old Style"/>
          <w:sz w:val="28"/>
          <w:szCs w:val="28"/>
          <w:lang w:val="el-GR"/>
        </w:rPr>
      </w:pPr>
      <w:r>
        <w:rPr>
          <w:rFonts w:ascii="Bookman Old Style" w:hAnsi="Bookman Old Style" w:cs="Arial"/>
          <w:sz w:val="28"/>
          <w:szCs w:val="28"/>
          <w:lang w:val="el-GR"/>
        </w:rPr>
        <w:t xml:space="preserve">Έχοντας καταλήξει ότι η μαρτυρία που προσέφερε η πλευρά του </w:t>
      </w:r>
      <w:proofErr w:type="spellStart"/>
      <w:r>
        <w:rPr>
          <w:rFonts w:ascii="Bookman Old Style" w:hAnsi="Bookman Old Style" w:cs="Arial"/>
          <w:sz w:val="28"/>
          <w:szCs w:val="28"/>
          <w:lang w:val="el-GR"/>
        </w:rPr>
        <w:t>Εφεσείοντα</w:t>
      </w:r>
      <w:proofErr w:type="spellEnd"/>
      <w:r w:rsidRPr="00FF055A">
        <w:rPr>
          <w:rFonts w:ascii="Bookman Old Style" w:hAnsi="Bookman Old Style"/>
          <w:sz w:val="28"/>
          <w:szCs w:val="28"/>
          <w:lang w:val="el-GR"/>
        </w:rPr>
        <w:t xml:space="preserve"> </w:t>
      </w:r>
      <w:r>
        <w:rPr>
          <w:rFonts w:ascii="Bookman Old Style" w:hAnsi="Bookman Old Style"/>
          <w:sz w:val="28"/>
          <w:szCs w:val="28"/>
          <w:lang w:val="el-GR"/>
        </w:rPr>
        <w:t xml:space="preserve">κρίθηκε αναξιόπιστη για βάσιμους λόγους, το γεγονός </w:t>
      </w:r>
      <w:r w:rsidR="00D06ED7">
        <w:rPr>
          <w:rFonts w:ascii="Bookman Old Style" w:hAnsi="Bookman Old Style"/>
          <w:sz w:val="28"/>
          <w:szCs w:val="28"/>
          <w:lang w:val="el-GR"/>
        </w:rPr>
        <w:t xml:space="preserve">τούτο, </w:t>
      </w:r>
      <w:r>
        <w:rPr>
          <w:rFonts w:ascii="Bookman Old Style" w:hAnsi="Bookman Old Style"/>
          <w:sz w:val="28"/>
          <w:szCs w:val="28"/>
          <w:lang w:val="el-GR"/>
        </w:rPr>
        <w:t>αναπόδραστα</w:t>
      </w:r>
      <w:r w:rsidR="00D06ED7">
        <w:rPr>
          <w:rFonts w:ascii="Bookman Old Style" w:hAnsi="Bookman Old Style"/>
          <w:sz w:val="28"/>
          <w:szCs w:val="28"/>
          <w:lang w:val="el-GR"/>
        </w:rPr>
        <w:t>,</w:t>
      </w:r>
      <w:r>
        <w:rPr>
          <w:rFonts w:ascii="Bookman Old Style" w:hAnsi="Bookman Old Style"/>
          <w:sz w:val="28"/>
          <w:szCs w:val="28"/>
          <w:lang w:val="el-GR"/>
        </w:rPr>
        <w:t xml:space="preserve"> οδήγησε και στην απόρριψη της απαίτησ</w:t>
      </w:r>
      <w:r w:rsidR="00D06ED7">
        <w:rPr>
          <w:rFonts w:ascii="Bookman Old Style" w:hAnsi="Bookman Old Style"/>
          <w:sz w:val="28"/>
          <w:szCs w:val="28"/>
          <w:lang w:val="el-GR"/>
        </w:rPr>
        <w:t>ή</w:t>
      </w:r>
      <w:r>
        <w:rPr>
          <w:rFonts w:ascii="Bookman Old Style" w:hAnsi="Bookman Old Style"/>
          <w:sz w:val="28"/>
          <w:szCs w:val="28"/>
          <w:lang w:val="el-GR"/>
        </w:rPr>
        <w:t>ς του</w:t>
      </w:r>
      <w:r w:rsidR="00D06ED7">
        <w:rPr>
          <w:rFonts w:ascii="Bookman Old Style" w:hAnsi="Bookman Old Style"/>
          <w:sz w:val="28"/>
          <w:szCs w:val="28"/>
          <w:lang w:val="el-GR"/>
        </w:rPr>
        <w:t xml:space="preserve">. Και σε αυτή την περίπτωση </w:t>
      </w:r>
      <w:r>
        <w:rPr>
          <w:rFonts w:ascii="Bookman Old Style" w:hAnsi="Bookman Old Style"/>
          <w:sz w:val="28"/>
          <w:szCs w:val="28"/>
          <w:lang w:val="el-GR"/>
        </w:rPr>
        <w:t>δεν θεμελιώθηκαν με ικανή μαρτυρία οι</w:t>
      </w:r>
      <w:r w:rsidR="00D06ED7">
        <w:rPr>
          <w:rFonts w:ascii="Bookman Old Style" w:hAnsi="Bookman Old Style"/>
          <w:sz w:val="28"/>
          <w:szCs w:val="28"/>
          <w:lang w:val="el-GR"/>
        </w:rPr>
        <w:t xml:space="preserve"> αξιώσεις του </w:t>
      </w:r>
      <w:r>
        <w:rPr>
          <w:rFonts w:ascii="Bookman Old Style" w:hAnsi="Bookman Old Style"/>
          <w:sz w:val="28"/>
          <w:szCs w:val="28"/>
          <w:lang w:val="el-GR"/>
        </w:rPr>
        <w:t xml:space="preserve">για </w:t>
      </w:r>
      <w:r>
        <w:rPr>
          <w:rFonts w:ascii="Bookman Old Style" w:hAnsi="Bookman Old Style" w:cs="Arial"/>
          <w:sz w:val="28"/>
          <w:szCs w:val="28"/>
          <w:lang w:val="el-GR"/>
        </w:rPr>
        <w:t>έκδοση των πιο πάνω αναφερόμενων διαταγμάτων.</w:t>
      </w:r>
      <w:r>
        <w:rPr>
          <w:rFonts w:ascii="Bookman Old Style" w:hAnsi="Bookman Old Style"/>
          <w:sz w:val="28"/>
          <w:szCs w:val="28"/>
          <w:lang w:val="el-GR"/>
        </w:rPr>
        <w:t xml:space="preserve"> </w:t>
      </w:r>
    </w:p>
    <w:p w14:paraId="46AE23CC" w14:textId="77777777" w:rsidR="00FF055A" w:rsidRDefault="00FF055A" w:rsidP="00E64348">
      <w:pPr>
        <w:spacing w:line="480" w:lineRule="auto"/>
        <w:ind w:right="-35"/>
        <w:jc w:val="both"/>
        <w:rPr>
          <w:rFonts w:ascii="Bookman Old Style" w:hAnsi="Bookman Old Style"/>
          <w:sz w:val="28"/>
          <w:szCs w:val="28"/>
          <w:lang w:val="el-GR"/>
        </w:rPr>
      </w:pPr>
    </w:p>
    <w:p w14:paraId="0E4FA8C6" w14:textId="63DE7CA8" w:rsidR="00FF055A" w:rsidRDefault="00FF055A" w:rsidP="00E64348">
      <w:pPr>
        <w:spacing w:line="480" w:lineRule="auto"/>
        <w:ind w:right="-35"/>
        <w:jc w:val="both"/>
        <w:rPr>
          <w:rFonts w:ascii="Bookman Old Style" w:hAnsi="Bookman Old Style"/>
          <w:sz w:val="28"/>
          <w:szCs w:val="28"/>
          <w:lang w:val="el-GR"/>
        </w:rPr>
      </w:pPr>
      <w:r>
        <w:rPr>
          <w:rFonts w:ascii="Bookman Old Style" w:hAnsi="Bookman Old Style"/>
          <w:sz w:val="28"/>
          <w:szCs w:val="28"/>
          <w:lang w:val="el-GR"/>
        </w:rPr>
        <w:t xml:space="preserve">Επιπλέον και ανεξαρτήτως </w:t>
      </w:r>
      <w:r w:rsidR="00E64348">
        <w:rPr>
          <w:rFonts w:ascii="Bookman Old Style" w:hAnsi="Bookman Old Style"/>
          <w:sz w:val="28"/>
          <w:szCs w:val="28"/>
          <w:lang w:val="el-GR"/>
        </w:rPr>
        <w:t xml:space="preserve">των πιο πάνω και </w:t>
      </w:r>
      <w:r>
        <w:rPr>
          <w:rFonts w:ascii="Bookman Old Style" w:hAnsi="Bookman Old Style"/>
          <w:sz w:val="28"/>
          <w:szCs w:val="28"/>
          <w:lang w:val="el-GR"/>
        </w:rPr>
        <w:t>με δεδομέν</w:t>
      </w:r>
      <w:r w:rsidR="00E64348">
        <w:rPr>
          <w:rFonts w:ascii="Bookman Old Style" w:hAnsi="Bookman Old Style"/>
          <w:sz w:val="28"/>
          <w:szCs w:val="28"/>
          <w:lang w:val="el-GR"/>
        </w:rPr>
        <w:t>ο ότι η Εταιρεία είχε τεθεί υπό καθεστώς εκκαθάρισης από τις 5/3/2010,</w:t>
      </w:r>
      <w:r>
        <w:rPr>
          <w:rFonts w:ascii="Bookman Old Style" w:hAnsi="Bookman Old Style"/>
          <w:sz w:val="28"/>
          <w:szCs w:val="28"/>
          <w:lang w:val="el-GR"/>
        </w:rPr>
        <w:t xml:space="preserve"> δεν μπορούσε</w:t>
      </w:r>
      <w:r w:rsidR="00E64348">
        <w:rPr>
          <w:rFonts w:ascii="Bookman Old Style" w:hAnsi="Bookman Old Style"/>
          <w:sz w:val="28"/>
          <w:szCs w:val="28"/>
          <w:lang w:val="el-GR"/>
        </w:rPr>
        <w:t>,</w:t>
      </w:r>
      <w:r w:rsidR="00E64348" w:rsidRPr="00E64348">
        <w:rPr>
          <w:rFonts w:ascii="Bookman Old Style" w:hAnsi="Bookman Old Style"/>
          <w:sz w:val="28"/>
          <w:szCs w:val="28"/>
          <w:lang w:val="el-GR"/>
        </w:rPr>
        <w:t xml:space="preserve"> </w:t>
      </w:r>
      <w:r w:rsidR="00E64348">
        <w:rPr>
          <w:rFonts w:ascii="Bookman Old Style" w:hAnsi="Bookman Old Style"/>
          <w:sz w:val="28"/>
          <w:szCs w:val="28"/>
          <w:lang w:val="el-GR"/>
        </w:rPr>
        <w:t xml:space="preserve">εν πάση </w:t>
      </w:r>
      <w:proofErr w:type="spellStart"/>
      <w:r w:rsidR="00E64348">
        <w:rPr>
          <w:rFonts w:ascii="Bookman Old Style" w:hAnsi="Bookman Old Style"/>
          <w:sz w:val="28"/>
          <w:szCs w:val="28"/>
          <w:lang w:val="el-GR"/>
        </w:rPr>
        <w:t>περιπτώσει</w:t>
      </w:r>
      <w:proofErr w:type="spellEnd"/>
      <w:r w:rsidR="00E64348">
        <w:rPr>
          <w:rFonts w:ascii="Bookman Old Style" w:hAnsi="Bookman Old Style"/>
          <w:sz w:val="28"/>
          <w:szCs w:val="28"/>
          <w:lang w:val="el-GR"/>
        </w:rPr>
        <w:t>,</w:t>
      </w:r>
      <w:r>
        <w:rPr>
          <w:rFonts w:ascii="Bookman Old Style" w:hAnsi="Bookman Old Style"/>
          <w:sz w:val="28"/>
          <w:szCs w:val="28"/>
          <w:lang w:val="el-GR"/>
        </w:rPr>
        <w:t xml:space="preserve"> να τεθεί ζήτημα έκδοσης τέτοιων διαταγμάτων</w:t>
      </w:r>
      <w:r w:rsidR="00E64348">
        <w:rPr>
          <w:rFonts w:ascii="Bookman Old Style" w:hAnsi="Bookman Old Style"/>
          <w:sz w:val="28"/>
          <w:szCs w:val="28"/>
          <w:lang w:val="el-GR"/>
        </w:rPr>
        <w:t>.</w:t>
      </w:r>
      <w:r>
        <w:rPr>
          <w:rFonts w:ascii="Bookman Old Style" w:hAnsi="Bookman Old Style"/>
          <w:sz w:val="28"/>
          <w:szCs w:val="28"/>
          <w:lang w:val="el-GR"/>
        </w:rPr>
        <w:t xml:space="preserve"> </w:t>
      </w:r>
    </w:p>
    <w:p w14:paraId="2D31A220" w14:textId="77777777" w:rsidR="00E64348" w:rsidRDefault="00E64348" w:rsidP="00E64348">
      <w:pPr>
        <w:spacing w:line="480" w:lineRule="auto"/>
        <w:ind w:right="-35"/>
        <w:jc w:val="both"/>
        <w:rPr>
          <w:rFonts w:ascii="Bookman Old Style" w:hAnsi="Bookman Old Style" w:cs="Arial"/>
          <w:sz w:val="28"/>
          <w:szCs w:val="28"/>
          <w:lang w:val="el-GR"/>
        </w:rPr>
      </w:pPr>
    </w:p>
    <w:p w14:paraId="30B993F7" w14:textId="77777777" w:rsidR="00FF055A" w:rsidRDefault="00FF055A" w:rsidP="00E64348">
      <w:pPr>
        <w:spacing w:line="480" w:lineRule="auto"/>
        <w:jc w:val="both"/>
        <w:rPr>
          <w:rFonts w:ascii="Bookman Old Style" w:hAnsi="Bookman Old Style"/>
          <w:sz w:val="28"/>
          <w:szCs w:val="28"/>
          <w:lang w:val="el-GR"/>
        </w:rPr>
      </w:pPr>
      <w:r>
        <w:rPr>
          <w:rFonts w:ascii="Bookman Old Style" w:hAnsi="Bookman Old Style"/>
          <w:sz w:val="28"/>
          <w:szCs w:val="28"/>
          <w:lang w:val="el-GR"/>
        </w:rPr>
        <w:t>Κατ' ακολουθίαν όλων των πιο πάνω, ουδείς εκ των Λόγων Έφεσης είναι βάσιμος.</w:t>
      </w:r>
    </w:p>
    <w:p w14:paraId="0C3639D0" w14:textId="77777777" w:rsidR="00E64348" w:rsidRPr="0031743C" w:rsidRDefault="00E64348" w:rsidP="00E64348">
      <w:pPr>
        <w:spacing w:line="480" w:lineRule="auto"/>
        <w:jc w:val="both"/>
        <w:rPr>
          <w:lang w:val="el-GR"/>
        </w:rPr>
      </w:pPr>
    </w:p>
    <w:p w14:paraId="177A955B" w14:textId="319908E7" w:rsidR="00D96137" w:rsidRDefault="00FF055A" w:rsidP="00E64348">
      <w:pPr>
        <w:spacing w:line="480" w:lineRule="auto"/>
        <w:jc w:val="both"/>
        <w:rPr>
          <w:rFonts w:ascii="Bookman Old Style" w:hAnsi="Bookman Old Style"/>
          <w:sz w:val="28"/>
          <w:szCs w:val="28"/>
          <w:lang w:val="el-GR"/>
        </w:rPr>
      </w:pPr>
      <w:r>
        <w:rPr>
          <w:rFonts w:ascii="Bookman Old Style" w:hAnsi="Bookman Old Style"/>
          <w:sz w:val="28"/>
          <w:szCs w:val="28"/>
          <w:lang w:val="el-GR"/>
        </w:rPr>
        <w:t xml:space="preserve">Ως εκ τούτου </w:t>
      </w:r>
      <w:r>
        <w:rPr>
          <w:rFonts w:ascii="Bookman Old Style" w:hAnsi="Bookman Old Style"/>
          <w:b/>
          <w:bCs/>
          <w:sz w:val="28"/>
          <w:szCs w:val="28"/>
          <w:lang w:val="el-GR"/>
        </w:rPr>
        <w:t>η Έφεση αποτυγχάνει και απορρίπτεται</w:t>
      </w:r>
      <w:r>
        <w:rPr>
          <w:rFonts w:ascii="Bookman Old Style" w:hAnsi="Bookman Old Style"/>
          <w:sz w:val="28"/>
          <w:szCs w:val="28"/>
          <w:lang w:val="el-GR"/>
        </w:rPr>
        <w:t>.</w:t>
      </w:r>
      <w:r w:rsidR="00E64348">
        <w:rPr>
          <w:rFonts w:ascii="Bookman Old Style" w:hAnsi="Bookman Old Style"/>
          <w:sz w:val="28"/>
          <w:szCs w:val="28"/>
          <w:lang w:val="el-GR"/>
        </w:rPr>
        <w:t xml:space="preserve"> </w:t>
      </w:r>
    </w:p>
    <w:p w14:paraId="5BFFD202" w14:textId="77777777" w:rsidR="000C1B94" w:rsidRDefault="000C1B94" w:rsidP="00E64348">
      <w:pPr>
        <w:spacing w:line="480" w:lineRule="auto"/>
        <w:jc w:val="both"/>
        <w:rPr>
          <w:rFonts w:ascii="Bookman Old Style" w:hAnsi="Bookman Old Style"/>
          <w:sz w:val="28"/>
          <w:szCs w:val="28"/>
          <w:lang w:val="el-GR"/>
        </w:rPr>
      </w:pPr>
    </w:p>
    <w:p w14:paraId="763FC128" w14:textId="54D5E9D9" w:rsidR="00FF055A" w:rsidRPr="00E64348" w:rsidRDefault="00FF055A" w:rsidP="00E64348">
      <w:pPr>
        <w:spacing w:line="480" w:lineRule="auto"/>
        <w:jc w:val="both"/>
        <w:rPr>
          <w:rFonts w:ascii="Bookman Old Style" w:hAnsi="Bookman Old Style"/>
          <w:sz w:val="28"/>
          <w:szCs w:val="28"/>
          <w:lang w:val="el-GR"/>
        </w:rPr>
      </w:pPr>
      <w:r>
        <w:rPr>
          <w:rFonts w:ascii="Bookman Old Style" w:hAnsi="Bookman Old Style"/>
          <w:b/>
          <w:bCs/>
          <w:sz w:val="28"/>
          <w:szCs w:val="28"/>
          <w:lang w:val="el-GR"/>
        </w:rPr>
        <w:t>Επιδικάζονται έξοδα ύψους €3000</w:t>
      </w:r>
      <w:r w:rsidR="003A0FBF">
        <w:rPr>
          <w:rFonts w:ascii="Bookman Old Style" w:hAnsi="Bookman Old Style"/>
          <w:sz w:val="28"/>
          <w:szCs w:val="28"/>
          <w:lang w:val="el-GR"/>
        </w:rPr>
        <w:t>,</w:t>
      </w:r>
      <w:r>
        <w:rPr>
          <w:rFonts w:ascii="Bookman Old Style" w:hAnsi="Bookman Old Style"/>
          <w:sz w:val="28"/>
          <w:szCs w:val="28"/>
          <w:lang w:val="el-GR"/>
        </w:rPr>
        <w:t xml:space="preserve"> πλέον ΦΠΑ, αν υπάρχει, </w:t>
      </w:r>
      <w:r>
        <w:rPr>
          <w:rFonts w:ascii="Bookman Old Style" w:hAnsi="Bookman Old Style"/>
          <w:b/>
          <w:bCs/>
          <w:sz w:val="28"/>
          <w:szCs w:val="28"/>
          <w:lang w:val="el-GR"/>
        </w:rPr>
        <w:t>υπέρ τ</w:t>
      </w:r>
      <w:r w:rsidR="002B6610">
        <w:rPr>
          <w:rFonts w:ascii="Bookman Old Style" w:hAnsi="Bookman Old Style"/>
          <w:b/>
          <w:bCs/>
          <w:sz w:val="28"/>
          <w:szCs w:val="28"/>
          <w:lang w:val="el-GR"/>
        </w:rPr>
        <w:t>ων</w:t>
      </w:r>
      <w:r>
        <w:rPr>
          <w:rFonts w:ascii="Bookman Old Style" w:hAnsi="Bookman Old Style"/>
          <w:b/>
          <w:bCs/>
          <w:sz w:val="28"/>
          <w:szCs w:val="28"/>
          <w:lang w:val="el-GR"/>
        </w:rPr>
        <w:t xml:space="preserve"> Εφεσίβλητ</w:t>
      </w:r>
      <w:r w:rsidR="002B6610">
        <w:rPr>
          <w:rFonts w:ascii="Bookman Old Style" w:hAnsi="Bookman Old Style"/>
          <w:b/>
          <w:bCs/>
          <w:sz w:val="28"/>
          <w:szCs w:val="28"/>
          <w:lang w:val="el-GR"/>
        </w:rPr>
        <w:t>ων</w:t>
      </w:r>
      <w:r>
        <w:rPr>
          <w:rFonts w:ascii="Bookman Old Style" w:hAnsi="Bookman Old Style"/>
          <w:b/>
          <w:bCs/>
          <w:sz w:val="28"/>
          <w:szCs w:val="28"/>
          <w:lang w:val="el-GR"/>
        </w:rPr>
        <w:t xml:space="preserve"> και εναντίον τ</w:t>
      </w:r>
      <w:r w:rsidR="002B6610">
        <w:rPr>
          <w:rFonts w:ascii="Bookman Old Style" w:hAnsi="Bookman Old Style"/>
          <w:b/>
          <w:bCs/>
          <w:sz w:val="28"/>
          <w:szCs w:val="28"/>
          <w:lang w:val="el-GR"/>
        </w:rPr>
        <w:t>ου</w:t>
      </w:r>
      <w:r>
        <w:rPr>
          <w:rFonts w:ascii="Bookman Old Style" w:hAnsi="Bookman Old Style"/>
          <w:b/>
          <w:bCs/>
          <w:sz w:val="28"/>
          <w:szCs w:val="28"/>
          <w:lang w:val="el-GR"/>
        </w:rPr>
        <w:t xml:space="preserve"> </w:t>
      </w:r>
      <w:proofErr w:type="spellStart"/>
      <w:r>
        <w:rPr>
          <w:rFonts w:ascii="Bookman Old Style" w:hAnsi="Bookman Old Style"/>
          <w:b/>
          <w:bCs/>
          <w:sz w:val="28"/>
          <w:szCs w:val="28"/>
          <w:lang w:val="el-GR"/>
        </w:rPr>
        <w:t>Εφεσείο</w:t>
      </w:r>
      <w:r w:rsidR="002B6610">
        <w:rPr>
          <w:rFonts w:ascii="Bookman Old Style" w:hAnsi="Bookman Old Style"/>
          <w:b/>
          <w:bCs/>
          <w:sz w:val="28"/>
          <w:szCs w:val="28"/>
          <w:lang w:val="el-GR"/>
        </w:rPr>
        <w:t>ντα</w:t>
      </w:r>
      <w:proofErr w:type="spellEnd"/>
      <w:r>
        <w:rPr>
          <w:rFonts w:ascii="Bookman Old Style" w:hAnsi="Bookman Old Style"/>
          <w:sz w:val="28"/>
          <w:szCs w:val="28"/>
          <w:lang w:val="el-GR"/>
        </w:rPr>
        <w:t>.</w:t>
      </w:r>
    </w:p>
    <w:p w14:paraId="06E22315" w14:textId="77777777" w:rsidR="00FF055A" w:rsidRDefault="00FF055A" w:rsidP="00FF055A">
      <w:pPr>
        <w:spacing w:before="100" w:beforeAutospacing="1" w:after="100" w:afterAutospacing="1" w:line="360" w:lineRule="auto"/>
        <w:jc w:val="both"/>
        <w:rPr>
          <w:rFonts w:ascii="Arial" w:hAnsi="Arial" w:cs="Arial"/>
          <w:sz w:val="28"/>
          <w:szCs w:val="28"/>
          <w:lang w:val="el-GR"/>
        </w:rPr>
      </w:pPr>
      <w:r>
        <w:rPr>
          <w:rFonts w:ascii="Arial" w:hAnsi="Arial" w:cs="Arial"/>
          <w:sz w:val="28"/>
          <w:szCs w:val="28"/>
          <w:lang w:val="el-GR"/>
        </w:rPr>
        <w:t> </w:t>
      </w:r>
    </w:p>
    <w:p w14:paraId="53616B99" w14:textId="77777777" w:rsidR="009F7C5D" w:rsidRDefault="009F7C5D" w:rsidP="00FF055A">
      <w:pPr>
        <w:spacing w:before="100" w:beforeAutospacing="1" w:after="100" w:afterAutospacing="1" w:line="360" w:lineRule="auto"/>
        <w:jc w:val="both"/>
        <w:rPr>
          <w:rFonts w:ascii="Arial" w:hAnsi="Arial" w:cs="Arial"/>
          <w:sz w:val="28"/>
          <w:szCs w:val="28"/>
          <w:lang w:val="el-GR"/>
        </w:rPr>
      </w:pPr>
    </w:p>
    <w:p w14:paraId="6398B998" w14:textId="77777777" w:rsidR="00D06ED7" w:rsidRDefault="00D06ED7" w:rsidP="00FF055A">
      <w:pPr>
        <w:spacing w:before="100" w:beforeAutospacing="1" w:after="100" w:afterAutospacing="1" w:line="360" w:lineRule="auto"/>
        <w:jc w:val="both"/>
        <w:rPr>
          <w:rFonts w:ascii="Arial" w:hAnsi="Arial" w:cs="Arial"/>
          <w:sz w:val="28"/>
          <w:szCs w:val="28"/>
          <w:lang w:val="el-GR"/>
        </w:rPr>
      </w:pPr>
    </w:p>
    <w:p w14:paraId="2F68F118" w14:textId="77777777" w:rsidR="009F7C5D" w:rsidRDefault="009F7C5D" w:rsidP="00FF055A">
      <w:pPr>
        <w:spacing w:before="100" w:beforeAutospacing="1" w:after="100" w:afterAutospacing="1" w:line="360" w:lineRule="auto"/>
        <w:jc w:val="both"/>
        <w:rPr>
          <w:rFonts w:ascii="Arial" w:hAnsi="Arial" w:cs="Arial"/>
          <w:sz w:val="28"/>
          <w:szCs w:val="28"/>
          <w:lang w:val="el-GR"/>
        </w:rPr>
      </w:pPr>
    </w:p>
    <w:p w14:paraId="1CCB1F49" w14:textId="7E40788E" w:rsidR="006A35A6" w:rsidRDefault="006A35A6" w:rsidP="00E64348">
      <w:pPr>
        <w:spacing w:line="36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00397480">
        <w:rPr>
          <w:rFonts w:ascii="Bookman Old Style" w:hAnsi="Bookman Old Style" w:cs="Arial"/>
          <w:b/>
          <w:sz w:val="28"/>
          <w:szCs w:val="28"/>
          <w:lang w:val="el-GR"/>
        </w:rPr>
        <w:t>Γ.Ν. ΓΙΑΣΕΜΗ</w:t>
      </w:r>
      <w:r w:rsidR="00EE19A2">
        <w:rPr>
          <w:rFonts w:ascii="Bookman Old Style" w:hAnsi="Bookman Old Style" w:cs="Arial"/>
          <w:b/>
          <w:sz w:val="28"/>
          <w:szCs w:val="28"/>
          <w:lang w:val="el-GR"/>
        </w:rPr>
        <w:t>Σ</w:t>
      </w:r>
      <w:r w:rsidRPr="008518F5">
        <w:rPr>
          <w:rFonts w:ascii="Bookman Old Style" w:hAnsi="Bookman Old Style" w:cs="Arial"/>
          <w:b/>
          <w:sz w:val="28"/>
          <w:szCs w:val="28"/>
          <w:lang w:val="el-GR"/>
        </w:rPr>
        <w:t>, Δ.</w:t>
      </w:r>
    </w:p>
    <w:p w14:paraId="5F0174AB" w14:textId="77777777" w:rsidR="009F7C5D" w:rsidRDefault="009F7C5D" w:rsidP="00E64348">
      <w:pPr>
        <w:spacing w:line="360" w:lineRule="auto"/>
        <w:ind w:right="-35"/>
        <w:jc w:val="both"/>
        <w:rPr>
          <w:rFonts w:ascii="Bookman Old Style" w:hAnsi="Bookman Old Style" w:cs="Arial"/>
          <w:b/>
          <w:sz w:val="28"/>
          <w:szCs w:val="28"/>
          <w:lang w:val="el-GR"/>
        </w:rPr>
      </w:pPr>
    </w:p>
    <w:p w14:paraId="55090CCC" w14:textId="77777777" w:rsidR="003A0FBF" w:rsidRDefault="003A0FBF" w:rsidP="00E64348">
      <w:pPr>
        <w:spacing w:line="360" w:lineRule="auto"/>
        <w:ind w:right="-35"/>
        <w:jc w:val="both"/>
        <w:rPr>
          <w:rFonts w:ascii="Bookman Old Style" w:hAnsi="Bookman Old Style" w:cs="Arial"/>
          <w:b/>
          <w:sz w:val="28"/>
          <w:szCs w:val="28"/>
          <w:lang w:val="el-GR"/>
        </w:rPr>
      </w:pPr>
    </w:p>
    <w:p w14:paraId="2E1FC6A4" w14:textId="77777777" w:rsidR="005F1E72" w:rsidRPr="008518F5" w:rsidRDefault="005F1E72" w:rsidP="00E64348">
      <w:pPr>
        <w:spacing w:line="360" w:lineRule="auto"/>
        <w:ind w:right="-35"/>
        <w:jc w:val="both"/>
        <w:rPr>
          <w:rFonts w:ascii="Bookman Old Style" w:hAnsi="Bookman Old Style" w:cs="Arial"/>
          <w:b/>
          <w:sz w:val="28"/>
          <w:szCs w:val="28"/>
          <w:lang w:val="el-GR"/>
        </w:rPr>
      </w:pPr>
    </w:p>
    <w:p w14:paraId="6A41BFBE" w14:textId="4FFDE29B" w:rsidR="00D96137" w:rsidRDefault="00422938" w:rsidP="00E64348">
      <w:pPr>
        <w:spacing w:line="360" w:lineRule="auto"/>
        <w:ind w:right="-35"/>
        <w:jc w:val="both"/>
        <w:rPr>
          <w:rFonts w:ascii="Bookman Old Style" w:hAnsi="Bookman Old Style" w:cs="Arial"/>
          <w:b/>
          <w:sz w:val="28"/>
          <w:szCs w:val="28"/>
          <w:lang w:val="el-GR"/>
        </w:rPr>
      </w:pP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r>
      <w:r w:rsidRPr="008518F5">
        <w:rPr>
          <w:rFonts w:ascii="Bookman Old Style" w:hAnsi="Bookman Old Style" w:cs="Arial"/>
          <w:b/>
          <w:sz w:val="28"/>
          <w:szCs w:val="28"/>
          <w:lang w:val="el-GR"/>
        </w:rPr>
        <w:tab/>
        <w:t>Λ</w:t>
      </w:r>
      <w:r w:rsidR="006A35A6" w:rsidRPr="008518F5">
        <w:rPr>
          <w:rFonts w:ascii="Bookman Old Style" w:hAnsi="Bookman Old Style" w:cs="Arial"/>
          <w:b/>
          <w:sz w:val="28"/>
          <w:szCs w:val="28"/>
          <w:lang w:val="el-GR"/>
        </w:rPr>
        <w:t>.</w:t>
      </w:r>
      <w:r w:rsidRPr="008518F5">
        <w:rPr>
          <w:rFonts w:ascii="Bookman Old Style" w:hAnsi="Bookman Old Style" w:cs="Arial"/>
          <w:b/>
          <w:sz w:val="28"/>
          <w:szCs w:val="28"/>
          <w:lang w:val="el-GR"/>
        </w:rPr>
        <w:t xml:space="preserve"> ΔΗΜΗΤΡΙΑΔΟΥ-ΑΝΔΡΕΟΥ</w:t>
      </w:r>
      <w:r w:rsidR="006A35A6" w:rsidRPr="008518F5">
        <w:rPr>
          <w:rFonts w:ascii="Bookman Old Style" w:hAnsi="Bookman Old Style" w:cs="Arial"/>
          <w:b/>
          <w:sz w:val="28"/>
          <w:szCs w:val="28"/>
          <w:lang w:val="el-GR"/>
        </w:rPr>
        <w:t>, Δ.</w:t>
      </w:r>
    </w:p>
    <w:p w14:paraId="6822B2EC" w14:textId="77777777" w:rsidR="009F7C5D" w:rsidRDefault="009F7C5D" w:rsidP="00E64348">
      <w:pPr>
        <w:spacing w:line="360" w:lineRule="auto"/>
        <w:ind w:right="-35"/>
        <w:jc w:val="both"/>
        <w:rPr>
          <w:rFonts w:ascii="Bookman Old Style" w:hAnsi="Bookman Old Style" w:cs="Arial"/>
          <w:b/>
          <w:sz w:val="28"/>
          <w:szCs w:val="28"/>
          <w:lang w:val="el-GR"/>
        </w:rPr>
      </w:pPr>
    </w:p>
    <w:p w14:paraId="5447EA7F" w14:textId="77777777" w:rsidR="003A0FBF" w:rsidRDefault="003A0FBF" w:rsidP="00E64348">
      <w:pPr>
        <w:spacing w:line="360" w:lineRule="auto"/>
        <w:ind w:right="-35"/>
        <w:jc w:val="both"/>
        <w:rPr>
          <w:rFonts w:ascii="Bookman Old Style" w:hAnsi="Bookman Old Style" w:cs="Arial"/>
          <w:b/>
          <w:sz w:val="28"/>
          <w:szCs w:val="28"/>
          <w:lang w:val="el-GR"/>
        </w:rPr>
      </w:pPr>
    </w:p>
    <w:p w14:paraId="6AD8F6FE" w14:textId="77777777" w:rsidR="005F1E72" w:rsidRDefault="005F1E72" w:rsidP="00E64348">
      <w:pPr>
        <w:spacing w:line="360" w:lineRule="auto"/>
        <w:ind w:right="-35"/>
        <w:jc w:val="both"/>
        <w:rPr>
          <w:rFonts w:ascii="Bookman Old Style" w:hAnsi="Bookman Old Style" w:cs="Arial"/>
          <w:b/>
          <w:sz w:val="28"/>
          <w:szCs w:val="28"/>
          <w:lang w:val="el-GR"/>
        </w:rPr>
      </w:pPr>
    </w:p>
    <w:p w14:paraId="68B67DDD" w14:textId="795B740E" w:rsidR="00397480" w:rsidRDefault="00397480" w:rsidP="00E64348">
      <w:pPr>
        <w:spacing w:line="360" w:lineRule="auto"/>
        <w:ind w:right="-35"/>
        <w:jc w:val="both"/>
        <w:rPr>
          <w:rFonts w:ascii="Bookman Old Style" w:hAnsi="Bookman Old Style" w:cs="Arial"/>
          <w:b/>
          <w:sz w:val="28"/>
          <w:szCs w:val="28"/>
          <w:lang w:val="el-GR"/>
        </w:rPr>
      </w:pP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r>
      <w:r>
        <w:rPr>
          <w:rFonts w:ascii="Bookman Old Style" w:hAnsi="Bookman Old Style" w:cs="Arial"/>
          <w:b/>
          <w:sz w:val="28"/>
          <w:szCs w:val="28"/>
          <w:lang w:val="el-GR"/>
        </w:rPr>
        <w:tab/>
        <w:t>Α. ΔΑΥΙΔ, Δ.</w:t>
      </w:r>
    </w:p>
    <w:sectPr w:rsidR="00397480" w:rsidSect="008E50A1">
      <w:headerReference w:type="default" r:id="rId8"/>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6171B" w14:textId="77777777" w:rsidR="005A692D" w:rsidRDefault="005A692D" w:rsidP="00B43113">
      <w:r>
        <w:separator/>
      </w:r>
    </w:p>
  </w:endnote>
  <w:endnote w:type="continuationSeparator" w:id="0">
    <w:p w14:paraId="70574E2B" w14:textId="77777777" w:rsidR="005A692D" w:rsidRDefault="005A692D" w:rsidP="00B43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rTimes">
    <w:altName w:val="Calibri"/>
    <w:charset w:val="00"/>
    <w:family w:val="auto"/>
    <w:pitch w:val="default"/>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78D2C" w14:textId="77777777" w:rsidR="005A692D" w:rsidRDefault="005A692D" w:rsidP="00B43113">
      <w:r>
        <w:separator/>
      </w:r>
    </w:p>
  </w:footnote>
  <w:footnote w:type="continuationSeparator" w:id="0">
    <w:p w14:paraId="4B16E9CA" w14:textId="77777777" w:rsidR="005A692D" w:rsidRDefault="005A692D" w:rsidP="00B43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A725A" w14:textId="2768D4E3" w:rsidR="00CF75E4" w:rsidRDefault="00CF75E4">
    <w:pPr>
      <w:pStyle w:val="Header"/>
      <w:jc w:val="center"/>
    </w:pPr>
    <w:r>
      <w:fldChar w:fldCharType="begin"/>
    </w:r>
    <w:r>
      <w:instrText xml:space="preserve"> PAGE   \* MERGEFORMAT </w:instrText>
    </w:r>
    <w:r>
      <w:fldChar w:fldCharType="separate"/>
    </w:r>
    <w:r w:rsidR="00E653B0">
      <w:rPr>
        <w:noProof/>
      </w:rPr>
      <w:t>21</w:t>
    </w:r>
    <w:r>
      <w:fldChar w:fldCharType="end"/>
    </w:r>
  </w:p>
  <w:p w14:paraId="67B1A8B4" w14:textId="77777777" w:rsidR="00CF75E4" w:rsidRDefault="00CF7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1D31"/>
    <w:multiLevelType w:val="hybridMultilevel"/>
    <w:tmpl w:val="17C6835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15:restartNumberingAfterBreak="0">
    <w:nsid w:val="11BE573F"/>
    <w:multiLevelType w:val="hybridMultilevel"/>
    <w:tmpl w:val="C6543FA6"/>
    <w:lvl w:ilvl="0" w:tplc="F224E8C8">
      <w:start w:val="3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4DF67E6"/>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 w15:restartNumberingAfterBreak="0">
    <w:nsid w:val="153B3655"/>
    <w:multiLevelType w:val="hybridMultilevel"/>
    <w:tmpl w:val="B8E8490E"/>
    <w:lvl w:ilvl="0" w:tplc="18EEA26C">
      <w:start w:val="1"/>
      <w:numFmt w:val="decimal"/>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4" w15:restartNumberingAfterBreak="0">
    <w:nsid w:val="29F25753"/>
    <w:multiLevelType w:val="multilevel"/>
    <w:tmpl w:val="BC024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0756FA"/>
    <w:multiLevelType w:val="hybridMultilevel"/>
    <w:tmpl w:val="62E0B378"/>
    <w:lvl w:ilvl="0" w:tplc="3CE23B68">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3ABC6F85"/>
    <w:multiLevelType w:val="hybridMultilevel"/>
    <w:tmpl w:val="A5FC60CC"/>
    <w:lvl w:ilvl="0" w:tplc="70D036BE">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3C3E4D11"/>
    <w:multiLevelType w:val="multilevel"/>
    <w:tmpl w:val="A0FA07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ECF440E"/>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9" w15:restartNumberingAfterBreak="0">
    <w:nsid w:val="52C47835"/>
    <w:multiLevelType w:val="hybridMultilevel"/>
    <w:tmpl w:val="CD1C31F6"/>
    <w:lvl w:ilvl="0" w:tplc="E312E74C">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10" w15:restartNumberingAfterBreak="0">
    <w:nsid w:val="54700F5D"/>
    <w:multiLevelType w:val="hybridMultilevel"/>
    <w:tmpl w:val="70EA42E6"/>
    <w:lvl w:ilvl="0" w:tplc="477CD89C">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55707649"/>
    <w:multiLevelType w:val="hybridMultilevel"/>
    <w:tmpl w:val="A6E4FC16"/>
    <w:lvl w:ilvl="0" w:tplc="7062C630">
      <w:start w:val="1"/>
      <w:numFmt w:val="lowerRoman"/>
      <w:lvlText w:val="(%1)"/>
      <w:lvlJc w:val="left"/>
      <w:pPr>
        <w:tabs>
          <w:tab w:val="num" w:pos="1004"/>
        </w:tabs>
        <w:ind w:left="1004" w:hanging="72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2" w15:restartNumberingAfterBreak="0">
    <w:nsid w:val="6B7958C7"/>
    <w:multiLevelType w:val="hybridMultilevel"/>
    <w:tmpl w:val="140435CC"/>
    <w:lvl w:ilvl="0" w:tplc="8D825CBC">
      <w:start w:val="1"/>
      <w:numFmt w:val="decimal"/>
      <w:lvlText w:val="%1."/>
      <w:lvlJc w:val="left"/>
      <w:pPr>
        <w:ind w:left="25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6C501A01"/>
    <w:multiLevelType w:val="hybridMultilevel"/>
    <w:tmpl w:val="F55ECD3C"/>
    <w:lvl w:ilvl="0" w:tplc="7FEC0270">
      <w:start w:val="1"/>
      <w:numFmt w:val="lowerRoman"/>
      <w:lvlText w:val="(%1)"/>
      <w:lvlJc w:val="left"/>
      <w:pPr>
        <w:ind w:left="1439" w:hanging="720"/>
      </w:pPr>
      <w:rPr>
        <w:rFonts w:hint="default"/>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4" w15:restartNumberingAfterBreak="0">
    <w:nsid w:val="71B34065"/>
    <w:multiLevelType w:val="hybridMultilevel"/>
    <w:tmpl w:val="B4ACC148"/>
    <w:lvl w:ilvl="0" w:tplc="2E107A0C">
      <w:start w:val="1"/>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731E2732"/>
    <w:multiLevelType w:val="hybridMultilevel"/>
    <w:tmpl w:val="5E72D1A6"/>
    <w:lvl w:ilvl="0" w:tplc="5B624B70">
      <w:numFmt w:val="bullet"/>
      <w:lvlText w:val="-"/>
      <w:lvlJc w:val="left"/>
      <w:pPr>
        <w:ind w:left="1527" w:hanging="360"/>
      </w:pPr>
      <w:rPr>
        <w:rFonts w:ascii="Arial" w:eastAsia="Times New Roman" w:hAnsi="Arial" w:cs="Arial" w:hint="default"/>
      </w:rPr>
    </w:lvl>
    <w:lvl w:ilvl="1" w:tplc="04090003" w:tentative="1">
      <w:start w:val="1"/>
      <w:numFmt w:val="bullet"/>
      <w:lvlText w:val="o"/>
      <w:lvlJc w:val="left"/>
      <w:pPr>
        <w:ind w:left="2247" w:hanging="360"/>
      </w:pPr>
      <w:rPr>
        <w:rFonts w:ascii="Courier New" w:hAnsi="Courier New" w:cs="Courier New" w:hint="default"/>
      </w:rPr>
    </w:lvl>
    <w:lvl w:ilvl="2" w:tplc="04090005" w:tentative="1">
      <w:start w:val="1"/>
      <w:numFmt w:val="bullet"/>
      <w:lvlText w:val=""/>
      <w:lvlJc w:val="left"/>
      <w:pPr>
        <w:ind w:left="2967" w:hanging="360"/>
      </w:pPr>
      <w:rPr>
        <w:rFonts w:ascii="Wingdings" w:hAnsi="Wingdings" w:hint="default"/>
      </w:rPr>
    </w:lvl>
    <w:lvl w:ilvl="3" w:tplc="04090001" w:tentative="1">
      <w:start w:val="1"/>
      <w:numFmt w:val="bullet"/>
      <w:lvlText w:val=""/>
      <w:lvlJc w:val="left"/>
      <w:pPr>
        <w:ind w:left="3687" w:hanging="360"/>
      </w:pPr>
      <w:rPr>
        <w:rFonts w:ascii="Symbol" w:hAnsi="Symbol" w:hint="default"/>
      </w:rPr>
    </w:lvl>
    <w:lvl w:ilvl="4" w:tplc="04090003" w:tentative="1">
      <w:start w:val="1"/>
      <w:numFmt w:val="bullet"/>
      <w:lvlText w:val="o"/>
      <w:lvlJc w:val="left"/>
      <w:pPr>
        <w:ind w:left="4407" w:hanging="360"/>
      </w:pPr>
      <w:rPr>
        <w:rFonts w:ascii="Courier New" w:hAnsi="Courier New" w:cs="Courier New" w:hint="default"/>
      </w:rPr>
    </w:lvl>
    <w:lvl w:ilvl="5" w:tplc="04090005" w:tentative="1">
      <w:start w:val="1"/>
      <w:numFmt w:val="bullet"/>
      <w:lvlText w:val=""/>
      <w:lvlJc w:val="left"/>
      <w:pPr>
        <w:ind w:left="5127" w:hanging="360"/>
      </w:pPr>
      <w:rPr>
        <w:rFonts w:ascii="Wingdings" w:hAnsi="Wingdings" w:hint="default"/>
      </w:rPr>
    </w:lvl>
    <w:lvl w:ilvl="6" w:tplc="04090001" w:tentative="1">
      <w:start w:val="1"/>
      <w:numFmt w:val="bullet"/>
      <w:lvlText w:val=""/>
      <w:lvlJc w:val="left"/>
      <w:pPr>
        <w:ind w:left="5847" w:hanging="360"/>
      </w:pPr>
      <w:rPr>
        <w:rFonts w:ascii="Symbol" w:hAnsi="Symbol" w:hint="default"/>
      </w:rPr>
    </w:lvl>
    <w:lvl w:ilvl="7" w:tplc="04090003" w:tentative="1">
      <w:start w:val="1"/>
      <w:numFmt w:val="bullet"/>
      <w:lvlText w:val="o"/>
      <w:lvlJc w:val="left"/>
      <w:pPr>
        <w:ind w:left="6567" w:hanging="360"/>
      </w:pPr>
      <w:rPr>
        <w:rFonts w:ascii="Courier New" w:hAnsi="Courier New" w:cs="Courier New" w:hint="default"/>
      </w:rPr>
    </w:lvl>
    <w:lvl w:ilvl="8" w:tplc="04090005" w:tentative="1">
      <w:start w:val="1"/>
      <w:numFmt w:val="bullet"/>
      <w:lvlText w:val=""/>
      <w:lvlJc w:val="left"/>
      <w:pPr>
        <w:ind w:left="7287" w:hanging="360"/>
      </w:pPr>
      <w:rPr>
        <w:rFonts w:ascii="Wingdings" w:hAnsi="Wingdings" w:hint="default"/>
      </w:rPr>
    </w:lvl>
  </w:abstractNum>
  <w:abstractNum w:abstractNumId="16" w15:restartNumberingAfterBreak="0">
    <w:nsid w:val="76CD5D40"/>
    <w:multiLevelType w:val="hybridMultilevel"/>
    <w:tmpl w:val="9500C15C"/>
    <w:lvl w:ilvl="0" w:tplc="23861330">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759909973">
    <w:abstractNumId w:val="11"/>
  </w:num>
  <w:num w:numId="2" w16cid:durableId="467283230">
    <w:abstractNumId w:val="13"/>
  </w:num>
  <w:num w:numId="3" w16cid:durableId="993292305">
    <w:abstractNumId w:val="15"/>
  </w:num>
  <w:num w:numId="4" w16cid:durableId="1243374678">
    <w:abstractNumId w:val="4"/>
  </w:num>
  <w:num w:numId="5" w16cid:durableId="16650912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60431033">
    <w:abstractNumId w:val="10"/>
  </w:num>
  <w:num w:numId="7" w16cid:durableId="12220555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893261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91275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8250348">
    <w:abstractNumId w:val="3"/>
  </w:num>
  <w:num w:numId="11" w16cid:durableId="2079546052">
    <w:abstractNumId w:val="0"/>
  </w:num>
  <w:num w:numId="12" w16cid:durableId="374740161">
    <w:abstractNumId w:val="9"/>
  </w:num>
  <w:num w:numId="13" w16cid:durableId="81689421">
    <w:abstractNumId w:val="14"/>
  </w:num>
  <w:num w:numId="14" w16cid:durableId="2002733809">
    <w:abstractNumId w:val="2"/>
  </w:num>
  <w:num w:numId="15" w16cid:durableId="643631599">
    <w:abstractNumId w:val="8"/>
  </w:num>
  <w:num w:numId="16" w16cid:durableId="1636136407">
    <w:abstractNumId w:val="16"/>
  </w:num>
  <w:num w:numId="17" w16cid:durableId="7914391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C55"/>
    <w:rsid w:val="00000B48"/>
    <w:rsid w:val="00000F1D"/>
    <w:rsid w:val="00007318"/>
    <w:rsid w:val="00020297"/>
    <w:rsid w:val="0002488E"/>
    <w:rsid w:val="000278F3"/>
    <w:rsid w:val="000349B3"/>
    <w:rsid w:val="00035069"/>
    <w:rsid w:val="0003597D"/>
    <w:rsid w:val="00035EA5"/>
    <w:rsid w:val="00037AB6"/>
    <w:rsid w:val="00040D98"/>
    <w:rsid w:val="00042D4F"/>
    <w:rsid w:val="00043077"/>
    <w:rsid w:val="000437F7"/>
    <w:rsid w:val="00053E4D"/>
    <w:rsid w:val="000576DF"/>
    <w:rsid w:val="00057AE4"/>
    <w:rsid w:val="00057B74"/>
    <w:rsid w:val="00061084"/>
    <w:rsid w:val="0006133B"/>
    <w:rsid w:val="000613C5"/>
    <w:rsid w:val="00061A82"/>
    <w:rsid w:val="00062D2B"/>
    <w:rsid w:val="00063486"/>
    <w:rsid w:val="000662DA"/>
    <w:rsid w:val="00076727"/>
    <w:rsid w:val="00080CBF"/>
    <w:rsid w:val="00083841"/>
    <w:rsid w:val="0008752B"/>
    <w:rsid w:val="00091BC2"/>
    <w:rsid w:val="0009358C"/>
    <w:rsid w:val="000A22CD"/>
    <w:rsid w:val="000A2E70"/>
    <w:rsid w:val="000A685B"/>
    <w:rsid w:val="000A7342"/>
    <w:rsid w:val="000B53F3"/>
    <w:rsid w:val="000B55AF"/>
    <w:rsid w:val="000B565F"/>
    <w:rsid w:val="000B628C"/>
    <w:rsid w:val="000C1B94"/>
    <w:rsid w:val="000C4171"/>
    <w:rsid w:val="000C432E"/>
    <w:rsid w:val="000D1294"/>
    <w:rsid w:val="000D512B"/>
    <w:rsid w:val="000D5E56"/>
    <w:rsid w:val="000D763E"/>
    <w:rsid w:val="000E4325"/>
    <w:rsid w:val="000E77E5"/>
    <w:rsid w:val="000F0639"/>
    <w:rsid w:val="00101DC5"/>
    <w:rsid w:val="00105780"/>
    <w:rsid w:val="001070CB"/>
    <w:rsid w:val="0011210C"/>
    <w:rsid w:val="00113285"/>
    <w:rsid w:val="00116534"/>
    <w:rsid w:val="00117C36"/>
    <w:rsid w:val="00120A8A"/>
    <w:rsid w:val="00121049"/>
    <w:rsid w:val="0012137B"/>
    <w:rsid w:val="0013347A"/>
    <w:rsid w:val="0013436B"/>
    <w:rsid w:val="00134644"/>
    <w:rsid w:val="00136261"/>
    <w:rsid w:val="0013646C"/>
    <w:rsid w:val="00136F62"/>
    <w:rsid w:val="001372DF"/>
    <w:rsid w:val="00137315"/>
    <w:rsid w:val="00137D46"/>
    <w:rsid w:val="00144D59"/>
    <w:rsid w:val="001478D9"/>
    <w:rsid w:val="001505E5"/>
    <w:rsid w:val="001506D1"/>
    <w:rsid w:val="00152154"/>
    <w:rsid w:val="0015347A"/>
    <w:rsid w:val="001552C8"/>
    <w:rsid w:val="0016041B"/>
    <w:rsid w:val="001607AD"/>
    <w:rsid w:val="00160B11"/>
    <w:rsid w:val="00162A0D"/>
    <w:rsid w:val="00171E30"/>
    <w:rsid w:val="001725B7"/>
    <w:rsid w:val="0017450C"/>
    <w:rsid w:val="0017483E"/>
    <w:rsid w:val="0018425D"/>
    <w:rsid w:val="00190856"/>
    <w:rsid w:val="001950A7"/>
    <w:rsid w:val="00197D26"/>
    <w:rsid w:val="001A0D7E"/>
    <w:rsid w:val="001A1A4B"/>
    <w:rsid w:val="001B23EF"/>
    <w:rsid w:val="001B2C5A"/>
    <w:rsid w:val="001B3040"/>
    <w:rsid w:val="001B4997"/>
    <w:rsid w:val="001C3A40"/>
    <w:rsid w:val="001C5EF1"/>
    <w:rsid w:val="001D0165"/>
    <w:rsid w:val="001E05AA"/>
    <w:rsid w:val="001E09D1"/>
    <w:rsid w:val="001E0A02"/>
    <w:rsid w:val="001E2109"/>
    <w:rsid w:val="001E3F2C"/>
    <w:rsid w:val="001E47BA"/>
    <w:rsid w:val="001E6E2E"/>
    <w:rsid w:val="001E7A53"/>
    <w:rsid w:val="001E7E64"/>
    <w:rsid w:val="001F13F5"/>
    <w:rsid w:val="001F2D57"/>
    <w:rsid w:val="001F3DAA"/>
    <w:rsid w:val="001F62D3"/>
    <w:rsid w:val="00201878"/>
    <w:rsid w:val="0020248C"/>
    <w:rsid w:val="00202A2C"/>
    <w:rsid w:val="00203D28"/>
    <w:rsid w:val="002107FF"/>
    <w:rsid w:val="00211B73"/>
    <w:rsid w:val="002121AF"/>
    <w:rsid w:val="00212C84"/>
    <w:rsid w:val="00216C55"/>
    <w:rsid w:val="00221854"/>
    <w:rsid w:val="00226104"/>
    <w:rsid w:val="002300E3"/>
    <w:rsid w:val="00231AB7"/>
    <w:rsid w:val="00237318"/>
    <w:rsid w:val="002375E9"/>
    <w:rsid w:val="0024555A"/>
    <w:rsid w:val="00246242"/>
    <w:rsid w:val="002511DC"/>
    <w:rsid w:val="00252595"/>
    <w:rsid w:val="002534A2"/>
    <w:rsid w:val="002537E5"/>
    <w:rsid w:val="00253890"/>
    <w:rsid w:val="00254DD1"/>
    <w:rsid w:val="00254EE9"/>
    <w:rsid w:val="002563C2"/>
    <w:rsid w:val="0026236A"/>
    <w:rsid w:val="002627BF"/>
    <w:rsid w:val="002644B6"/>
    <w:rsid w:val="00265A85"/>
    <w:rsid w:val="00266B1B"/>
    <w:rsid w:val="00267A23"/>
    <w:rsid w:val="00267CEF"/>
    <w:rsid w:val="0027030F"/>
    <w:rsid w:val="00270723"/>
    <w:rsid w:val="00271495"/>
    <w:rsid w:val="00276F88"/>
    <w:rsid w:val="002822E0"/>
    <w:rsid w:val="002842C3"/>
    <w:rsid w:val="00284DCF"/>
    <w:rsid w:val="00285C4F"/>
    <w:rsid w:val="00285F60"/>
    <w:rsid w:val="00286460"/>
    <w:rsid w:val="00287351"/>
    <w:rsid w:val="00287F36"/>
    <w:rsid w:val="00291651"/>
    <w:rsid w:val="00295602"/>
    <w:rsid w:val="00296605"/>
    <w:rsid w:val="002A4ED5"/>
    <w:rsid w:val="002A5B7A"/>
    <w:rsid w:val="002A631C"/>
    <w:rsid w:val="002A67AF"/>
    <w:rsid w:val="002B0A78"/>
    <w:rsid w:val="002B2638"/>
    <w:rsid w:val="002B2C51"/>
    <w:rsid w:val="002B6610"/>
    <w:rsid w:val="002B74E9"/>
    <w:rsid w:val="002C0A93"/>
    <w:rsid w:val="002C3BDD"/>
    <w:rsid w:val="002C3E1F"/>
    <w:rsid w:val="002C6685"/>
    <w:rsid w:val="002C7F3B"/>
    <w:rsid w:val="002D128B"/>
    <w:rsid w:val="002D1618"/>
    <w:rsid w:val="002D16C8"/>
    <w:rsid w:val="002D2DF4"/>
    <w:rsid w:val="002D3C1D"/>
    <w:rsid w:val="002D4F96"/>
    <w:rsid w:val="002D6034"/>
    <w:rsid w:val="002D7BF1"/>
    <w:rsid w:val="002E4F31"/>
    <w:rsid w:val="002E5CA3"/>
    <w:rsid w:val="002E73C6"/>
    <w:rsid w:val="002E7735"/>
    <w:rsid w:val="002F671E"/>
    <w:rsid w:val="00302035"/>
    <w:rsid w:val="0030216D"/>
    <w:rsid w:val="003031D4"/>
    <w:rsid w:val="003103D8"/>
    <w:rsid w:val="00313331"/>
    <w:rsid w:val="00316BE5"/>
    <w:rsid w:val="00316C5D"/>
    <w:rsid w:val="0031743C"/>
    <w:rsid w:val="00317994"/>
    <w:rsid w:val="003231CA"/>
    <w:rsid w:val="0032535A"/>
    <w:rsid w:val="00327D19"/>
    <w:rsid w:val="00333E33"/>
    <w:rsid w:val="00335FEF"/>
    <w:rsid w:val="00337703"/>
    <w:rsid w:val="00337BC4"/>
    <w:rsid w:val="00342C10"/>
    <w:rsid w:val="003472C7"/>
    <w:rsid w:val="0035313C"/>
    <w:rsid w:val="003561FF"/>
    <w:rsid w:val="003605F5"/>
    <w:rsid w:val="00362EB6"/>
    <w:rsid w:val="0036532E"/>
    <w:rsid w:val="003678E2"/>
    <w:rsid w:val="0037086D"/>
    <w:rsid w:val="00374EB1"/>
    <w:rsid w:val="00380609"/>
    <w:rsid w:val="00381D97"/>
    <w:rsid w:val="00394B2D"/>
    <w:rsid w:val="00395154"/>
    <w:rsid w:val="00397480"/>
    <w:rsid w:val="003A0304"/>
    <w:rsid w:val="003A0FBF"/>
    <w:rsid w:val="003A158D"/>
    <w:rsid w:val="003A1852"/>
    <w:rsid w:val="003A3BA5"/>
    <w:rsid w:val="003B5736"/>
    <w:rsid w:val="003C0033"/>
    <w:rsid w:val="003C2E3E"/>
    <w:rsid w:val="003C4CB0"/>
    <w:rsid w:val="003D0680"/>
    <w:rsid w:val="003D3D98"/>
    <w:rsid w:val="003D7822"/>
    <w:rsid w:val="003E1C8C"/>
    <w:rsid w:val="003E1F2E"/>
    <w:rsid w:val="003E3157"/>
    <w:rsid w:val="003E4384"/>
    <w:rsid w:val="003E50AF"/>
    <w:rsid w:val="003E67F9"/>
    <w:rsid w:val="003F0741"/>
    <w:rsid w:val="003F0FB1"/>
    <w:rsid w:val="003F158B"/>
    <w:rsid w:val="003F18B0"/>
    <w:rsid w:val="003F287C"/>
    <w:rsid w:val="003F3975"/>
    <w:rsid w:val="003F479E"/>
    <w:rsid w:val="003F5C16"/>
    <w:rsid w:val="003F72C8"/>
    <w:rsid w:val="00401B3C"/>
    <w:rsid w:val="00402401"/>
    <w:rsid w:val="00403528"/>
    <w:rsid w:val="004038F0"/>
    <w:rsid w:val="00411F7A"/>
    <w:rsid w:val="0041369F"/>
    <w:rsid w:val="004162C4"/>
    <w:rsid w:val="00416CD0"/>
    <w:rsid w:val="004211E7"/>
    <w:rsid w:val="00422938"/>
    <w:rsid w:val="00422ADE"/>
    <w:rsid w:val="0042759C"/>
    <w:rsid w:val="00427611"/>
    <w:rsid w:val="0043261E"/>
    <w:rsid w:val="004330D1"/>
    <w:rsid w:val="004338D4"/>
    <w:rsid w:val="004351C9"/>
    <w:rsid w:val="00436662"/>
    <w:rsid w:val="00437BEE"/>
    <w:rsid w:val="00441547"/>
    <w:rsid w:val="00441B12"/>
    <w:rsid w:val="0044590A"/>
    <w:rsid w:val="004461C3"/>
    <w:rsid w:val="0044662C"/>
    <w:rsid w:val="00446D53"/>
    <w:rsid w:val="00447368"/>
    <w:rsid w:val="0044758F"/>
    <w:rsid w:val="004501F2"/>
    <w:rsid w:val="00452A12"/>
    <w:rsid w:val="004550BD"/>
    <w:rsid w:val="00457CBF"/>
    <w:rsid w:val="00464C34"/>
    <w:rsid w:val="00464EE8"/>
    <w:rsid w:val="004659AE"/>
    <w:rsid w:val="0047079A"/>
    <w:rsid w:val="004727E2"/>
    <w:rsid w:val="00475C42"/>
    <w:rsid w:val="00475EE3"/>
    <w:rsid w:val="0048046A"/>
    <w:rsid w:val="0048095C"/>
    <w:rsid w:val="004824F9"/>
    <w:rsid w:val="00482618"/>
    <w:rsid w:val="00484799"/>
    <w:rsid w:val="004850CD"/>
    <w:rsid w:val="0048527C"/>
    <w:rsid w:val="00486CB3"/>
    <w:rsid w:val="00492802"/>
    <w:rsid w:val="00497E25"/>
    <w:rsid w:val="004A086C"/>
    <w:rsid w:val="004B3154"/>
    <w:rsid w:val="004B795E"/>
    <w:rsid w:val="004C2E05"/>
    <w:rsid w:val="004D25BD"/>
    <w:rsid w:val="004D5B88"/>
    <w:rsid w:val="004E3097"/>
    <w:rsid w:val="004E639D"/>
    <w:rsid w:val="004E73B5"/>
    <w:rsid w:val="004F180C"/>
    <w:rsid w:val="004F3B1F"/>
    <w:rsid w:val="004F4363"/>
    <w:rsid w:val="004F45B5"/>
    <w:rsid w:val="004F4D75"/>
    <w:rsid w:val="004F7385"/>
    <w:rsid w:val="004F79BA"/>
    <w:rsid w:val="0050070A"/>
    <w:rsid w:val="005023E1"/>
    <w:rsid w:val="00507F54"/>
    <w:rsid w:val="0051036A"/>
    <w:rsid w:val="00512A9B"/>
    <w:rsid w:val="00513C91"/>
    <w:rsid w:val="00513DAA"/>
    <w:rsid w:val="00514A3E"/>
    <w:rsid w:val="00516AD7"/>
    <w:rsid w:val="00522E71"/>
    <w:rsid w:val="00524F99"/>
    <w:rsid w:val="00531F9F"/>
    <w:rsid w:val="00535C1F"/>
    <w:rsid w:val="005407A0"/>
    <w:rsid w:val="0054698F"/>
    <w:rsid w:val="00547689"/>
    <w:rsid w:val="00551AF3"/>
    <w:rsid w:val="00551F0C"/>
    <w:rsid w:val="0055241D"/>
    <w:rsid w:val="00560337"/>
    <w:rsid w:val="0056063D"/>
    <w:rsid w:val="005629C5"/>
    <w:rsid w:val="00571FD5"/>
    <w:rsid w:val="00573B9E"/>
    <w:rsid w:val="005764D2"/>
    <w:rsid w:val="00580AED"/>
    <w:rsid w:val="00582B8B"/>
    <w:rsid w:val="00585D3C"/>
    <w:rsid w:val="005A2C48"/>
    <w:rsid w:val="005A3455"/>
    <w:rsid w:val="005A5C31"/>
    <w:rsid w:val="005A6169"/>
    <w:rsid w:val="005A692D"/>
    <w:rsid w:val="005A72E5"/>
    <w:rsid w:val="005B28A2"/>
    <w:rsid w:val="005B2A81"/>
    <w:rsid w:val="005B4561"/>
    <w:rsid w:val="005B7ADB"/>
    <w:rsid w:val="005C013E"/>
    <w:rsid w:val="005C14ED"/>
    <w:rsid w:val="005C1C7C"/>
    <w:rsid w:val="005C33AC"/>
    <w:rsid w:val="005C3B3A"/>
    <w:rsid w:val="005C6032"/>
    <w:rsid w:val="005D2199"/>
    <w:rsid w:val="005D28AB"/>
    <w:rsid w:val="005D2E55"/>
    <w:rsid w:val="005D2F28"/>
    <w:rsid w:val="005D5130"/>
    <w:rsid w:val="005D6545"/>
    <w:rsid w:val="005E022A"/>
    <w:rsid w:val="005E445B"/>
    <w:rsid w:val="005E54FE"/>
    <w:rsid w:val="005E71BE"/>
    <w:rsid w:val="005E7D07"/>
    <w:rsid w:val="005F1E72"/>
    <w:rsid w:val="00601276"/>
    <w:rsid w:val="00607D06"/>
    <w:rsid w:val="006136F7"/>
    <w:rsid w:val="00622061"/>
    <w:rsid w:val="006232C0"/>
    <w:rsid w:val="00624596"/>
    <w:rsid w:val="006334D9"/>
    <w:rsid w:val="00634CA2"/>
    <w:rsid w:val="006351AC"/>
    <w:rsid w:val="00637F1D"/>
    <w:rsid w:val="006444DE"/>
    <w:rsid w:val="00646095"/>
    <w:rsid w:val="00647A1A"/>
    <w:rsid w:val="006517ED"/>
    <w:rsid w:val="00655996"/>
    <w:rsid w:val="0065724A"/>
    <w:rsid w:val="006618B0"/>
    <w:rsid w:val="00670778"/>
    <w:rsid w:val="006711C2"/>
    <w:rsid w:val="006732A5"/>
    <w:rsid w:val="00673710"/>
    <w:rsid w:val="00674ACA"/>
    <w:rsid w:val="006757D1"/>
    <w:rsid w:val="006773DC"/>
    <w:rsid w:val="00683514"/>
    <w:rsid w:val="006862A3"/>
    <w:rsid w:val="006906F6"/>
    <w:rsid w:val="0069114A"/>
    <w:rsid w:val="0069157F"/>
    <w:rsid w:val="00691BEC"/>
    <w:rsid w:val="006924A3"/>
    <w:rsid w:val="00692BC5"/>
    <w:rsid w:val="00694AF3"/>
    <w:rsid w:val="00697CB0"/>
    <w:rsid w:val="006A030A"/>
    <w:rsid w:val="006A219E"/>
    <w:rsid w:val="006A35A6"/>
    <w:rsid w:val="006A457C"/>
    <w:rsid w:val="006A78A8"/>
    <w:rsid w:val="006B1138"/>
    <w:rsid w:val="006B1A70"/>
    <w:rsid w:val="006B2C3D"/>
    <w:rsid w:val="006B3E07"/>
    <w:rsid w:val="006C0510"/>
    <w:rsid w:val="006D20A9"/>
    <w:rsid w:val="006D7166"/>
    <w:rsid w:val="006D7A84"/>
    <w:rsid w:val="006E0506"/>
    <w:rsid w:val="006E1250"/>
    <w:rsid w:val="006F4660"/>
    <w:rsid w:val="006F53E1"/>
    <w:rsid w:val="006F6985"/>
    <w:rsid w:val="00702EC7"/>
    <w:rsid w:val="00703717"/>
    <w:rsid w:val="007062FF"/>
    <w:rsid w:val="007104B4"/>
    <w:rsid w:val="0071426B"/>
    <w:rsid w:val="00715AEB"/>
    <w:rsid w:val="00716B91"/>
    <w:rsid w:val="00722DE1"/>
    <w:rsid w:val="00725DAA"/>
    <w:rsid w:val="00726C84"/>
    <w:rsid w:val="00726FAF"/>
    <w:rsid w:val="0073109D"/>
    <w:rsid w:val="00731523"/>
    <w:rsid w:val="0073354D"/>
    <w:rsid w:val="00734CE5"/>
    <w:rsid w:val="00735A48"/>
    <w:rsid w:val="00736C9F"/>
    <w:rsid w:val="00740B9B"/>
    <w:rsid w:val="00743E16"/>
    <w:rsid w:val="00744756"/>
    <w:rsid w:val="00747CB7"/>
    <w:rsid w:val="00751215"/>
    <w:rsid w:val="007550A3"/>
    <w:rsid w:val="00756490"/>
    <w:rsid w:val="0075790C"/>
    <w:rsid w:val="00765F70"/>
    <w:rsid w:val="007715DB"/>
    <w:rsid w:val="00773FD7"/>
    <w:rsid w:val="00774795"/>
    <w:rsid w:val="007748E6"/>
    <w:rsid w:val="007758DA"/>
    <w:rsid w:val="00775A8F"/>
    <w:rsid w:val="00776545"/>
    <w:rsid w:val="00776D6B"/>
    <w:rsid w:val="00777A4E"/>
    <w:rsid w:val="00777BB8"/>
    <w:rsid w:val="007805A4"/>
    <w:rsid w:val="00781979"/>
    <w:rsid w:val="00791BEC"/>
    <w:rsid w:val="007A1FA8"/>
    <w:rsid w:val="007A25C1"/>
    <w:rsid w:val="007A32F4"/>
    <w:rsid w:val="007A57DA"/>
    <w:rsid w:val="007B66F0"/>
    <w:rsid w:val="007B7C5B"/>
    <w:rsid w:val="007C0DBD"/>
    <w:rsid w:val="007C114B"/>
    <w:rsid w:val="007C5251"/>
    <w:rsid w:val="007C56EF"/>
    <w:rsid w:val="007D15BB"/>
    <w:rsid w:val="007D15FD"/>
    <w:rsid w:val="007D3597"/>
    <w:rsid w:val="007D695E"/>
    <w:rsid w:val="007D7DDA"/>
    <w:rsid w:val="007E3146"/>
    <w:rsid w:val="007E3626"/>
    <w:rsid w:val="007E4F68"/>
    <w:rsid w:val="007F0ED2"/>
    <w:rsid w:val="007F6B75"/>
    <w:rsid w:val="007F7BAA"/>
    <w:rsid w:val="00800232"/>
    <w:rsid w:val="008034A8"/>
    <w:rsid w:val="00806143"/>
    <w:rsid w:val="00810B04"/>
    <w:rsid w:val="00813E9D"/>
    <w:rsid w:val="00814C8C"/>
    <w:rsid w:val="00814F25"/>
    <w:rsid w:val="0081642C"/>
    <w:rsid w:val="00825237"/>
    <w:rsid w:val="008264A6"/>
    <w:rsid w:val="00830BA8"/>
    <w:rsid w:val="00836396"/>
    <w:rsid w:val="008376CB"/>
    <w:rsid w:val="00837E71"/>
    <w:rsid w:val="00843D99"/>
    <w:rsid w:val="00844951"/>
    <w:rsid w:val="00846C09"/>
    <w:rsid w:val="00851456"/>
    <w:rsid w:val="008518F5"/>
    <w:rsid w:val="00852ED4"/>
    <w:rsid w:val="00853085"/>
    <w:rsid w:val="00854B6B"/>
    <w:rsid w:val="00865FA3"/>
    <w:rsid w:val="00867041"/>
    <w:rsid w:val="0087152E"/>
    <w:rsid w:val="0087268E"/>
    <w:rsid w:val="00874F0C"/>
    <w:rsid w:val="0087796B"/>
    <w:rsid w:val="00880A4A"/>
    <w:rsid w:val="008915D0"/>
    <w:rsid w:val="00891B19"/>
    <w:rsid w:val="00893352"/>
    <w:rsid w:val="008969EE"/>
    <w:rsid w:val="00896E38"/>
    <w:rsid w:val="008A02DD"/>
    <w:rsid w:val="008A307A"/>
    <w:rsid w:val="008A317B"/>
    <w:rsid w:val="008A4C74"/>
    <w:rsid w:val="008A558E"/>
    <w:rsid w:val="008A6C8C"/>
    <w:rsid w:val="008A7196"/>
    <w:rsid w:val="008A71DD"/>
    <w:rsid w:val="008B113A"/>
    <w:rsid w:val="008B51D7"/>
    <w:rsid w:val="008C0241"/>
    <w:rsid w:val="008C1608"/>
    <w:rsid w:val="008C1EB2"/>
    <w:rsid w:val="008C320C"/>
    <w:rsid w:val="008C4F42"/>
    <w:rsid w:val="008D1BCB"/>
    <w:rsid w:val="008D2CCC"/>
    <w:rsid w:val="008E2F19"/>
    <w:rsid w:val="008E307B"/>
    <w:rsid w:val="008E393D"/>
    <w:rsid w:val="008E50A1"/>
    <w:rsid w:val="008E5738"/>
    <w:rsid w:val="008F02A1"/>
    <w:rsid w:val="008F0FD5"/>
    <w:rsid w:val="008F2A45"/>
    <w:rsid w:val="008F40F2"/>
    <w:rsid w:val="008F4867"/>
    <w:rsid w:val="008F7E1A"/>
    <w:rsid w:val="009011BE"/>
    <w:rsid w:val="00904291"/>
    <w:rsid w:val="00906E2C"/>
    <w:rsid w:val="00910F1D"/>
    <w:rsid w:val="00912167"/>
    <w:rsid w:val="00913BEE"/>
    <w:rsid w:val="009147CC"/>
    <w:rsid w:val="00916EE8"/>
    <w:rsid w:val="00925D22"/>
    <w:rsid w:val="0093275B"/>
    <w:rsid w:val="00932F16"/>
    <w:rsid w:val="0093377F"/>
    <w:rsid w:val="0093471C"/>
    <w:rsid w:val="009363BE"/>
    <w:rsid w:val="00940BE8"/>
    <w:rsid w:val="009517D6"/>
    <w:rsid w:val="00952D41"/>
    <w:rsid w:val="00952DF8"/>
    <w:rsid w:val="00953421"/>
    <w:rsid w:val="00957E83"/>
    <w:rsid w:val="00960BCE"/>
    <w:rsid w:val="0096195E"/>
    <w:rsid w:val="00962E2D"/>
    <w:rsid w:val="00963265"/>
    <w:rsid w:val="00963291"/>
    <w:rsid w:val="00964907"/>
    <w:rsid w:val="00966D0C"/>
    <w:rsid w:val="00972247"/>
    <w:rsid w:val="00972616"/>
    <w:rsid w:val="009761C5"/>
    <w:rsid w:val="0098186B"/>
    <w:rsid w:val="009823C0"/>
    <w:rsid w:val="00982C82"/>
    <w:rsid w:val="00984862"/>
    <w:rsid w:val="00985691"/>
    <w:rsid w:val="009856AA"/>
    <w:rsid w:val="00986266"/>
    <w:rsid w:val="009949BE"/>
    <w:rsid w:val="00996F5D"/>
    <w:rsid w:val="009A37F7"/>
    <w:rsid w:val="009A5ACF"/>
    <w:rsid w:val="009A606D"/>
    <w:rsid w:val="009A732A"/>
    <w:rsid w:val="009B1601"/>
    <w:rsid w:val="009B2043"/>
    <w:rsid w:val="009B2592"/>
    <w:rsid w:val="009B6E56"/>
    <w:rsid w:val="009C1918"/>
    <w:rsid w:val="009C1DFF"/>
    <w:rsid w:val="009C62E2"/>
    <w:rsid w:val="009C7AA0"/>
    <w:rsid w:val="009D31F0"/>
    <w:rsid w:val="009D51E4"/>
    <w:rsid w:val="009D5233"/>
    <w:rsid w:val="009D6B47"/>
    <w:rsid w:val="009D7F0E"/>
    <w:rsid w:val="009E4842"/>
    <w:rsid w:val="009E6080"/>
    <w:rsid w:val="009F2456"/>
    <w:rsid w:val="009F3656"/>
    <w:rsid w:val="009F39F1"/>
    <w:rsid w:val="009F4171"/>
    <w:rsid w:val="009F4BD4"/>
    <w:rsid w:val="009F5CF0"/>
    <w:rsid w:val="009F7C5D"/>
    <w:rsid w:val="00A00021"/>
    <w:rsid w:val="00A00102"/>
    <w:rsid w:val="00A01B36"/>
    <w:rsid w:val="00A02075"/>
    <w:rsid w:val="00A02A0C"/>
    <w:rsid w:val="00A05642"/>
    <w:rsid w:val="00A066B5"/>
    <w:rsid w:val="00A13C3F"/>
    <w:rsid w:val="00A1552D"/>
    <w:rsid w:val="00A212BA"/>
    <w:rsid w:val="00A2186F"/>
    <w:rsid w:val="00A24374"/>
    <w:rsid w:val="00A24D9A"/>
    <w:rsid w:val="00A25042"/>
    <w:rsid w:val="00A30478"/>
    <w:rsid w:val="00A33CAE"/>
    <w:rsid w:val="00A35476"/>
    <w:rsid w:val="00A41627"/>
    <w:rsid w:val="00A427B0"/>
    <w:rsid w:val="00A4361D"/>
    <w:rsid w:val="00A46EB5"/>
    <w:rsid w:val="00A5037E"/>
    <w:rsid w:val="00A504C2"/>
    <w:rsid w:val="00A5062F"/>
    <w:rsid w:val="00A60D55"/>
    <w:rsid w:val="00A66D3C"/>
    <w:rsid w:val="00A67896"/>
    <w:rsid w:val="00A72364"/>
    <w:rsid w:val="00A7422C"/>
    <w:rsid w:val="00A80E21"/>
    <w:rsid w:val="00A8256A"/>
    <w:rsid w:val="00A82703"/>
    <w:rsid w:val="00A82A05"/>
    <w:rsid w:val="00A8544F"/>
    <w:rsid w:val="00A870CE"/>
    <w:rsid w:val="00A916F0"/>
    <w:rsid w:val="00AA0AA7"/>
    <w:rsid w:val="00AA0C4D"/>
    <w:rsid w:val="00AA2D71"/>
    <w:rsid w:val="00AA60DB"/>
    <w:rsid w:val="00AB04CA"/>
    <w:rsid w:val="00AB08EA"/>
    <w:rsid w:val="00AB1D29"/>
    <w:rsid w:val="00AB27DC"/>
    <w:rsid w:val="00AB2E9E"/>
    <w:rsid w:val="00AB4289"/>
    <w:rsid w:val="00AB54AD"/>
    <w:rsid w:val="00AB5ECD"/>
    <w:rsid w:val="00AB65C0"/>
    <w:rsid w:val="00AD192D"/>
    <w:rsid w:val="00AD1ED2"/>
    <w:rsid w:val="00AD2454"/>
    <w:rsid w:val="00AD4B81"/>
    <w:rsid w:val="00AE75E3"/>
    <w:rsid w:val="00AE79D6"/>
    <w:rsid w:val="00AF455A"/>
    <w:rsid w:val="00AF5968"/>
    <w:rsid w:val="00B0364D"/>
    <w:rsid w:val="00B123FB"/>
    <w:rsid w:val="00B1460D"/>
    <w:rsid w:val="00B1500D"/>
    <w:rsid w:val="00B15F84"/>
    <w:rsid w:val="00B16916"/>
    <w:rsid w:val="00B16B08"/>
    <w:rsid w:val="00B16E11"/>
    <w:rsid w:val="00B22D4B"/>
    <w:rsid w:val="00B23134"/>
    <w:rsid w:val="00B24284"/>
    <w:rsid w:val="00B25EDC"/>
    <w:rsid w:val="00B27215"/>
    <w:rsid w:val="00B35704"/>
    <w:rsid w:val="00B35EEE"/>
    <w:rsid w:val="00B36CC7"/>
    <w:rsid w:val="00B379BB"/>
    <w:rsid w:val="00B41198"/>
    <w:rsid w:val="00B41474"/>
    <w:rsid w:val="00B425C5"/>
    <w:rsid w:val="00B42895"/>
    <w:rsid w:val="00B43113"/>
    <w:rsid w:val="00B504B7"/>
    <w:rsid w:val="00B5485A"/>
    <w:rsid w:val="00B570CA"/>
    <w:rsid w:val="00B65D57"/>
    <w:rsid w:val="00B670A0"/>
    <w:rsid w:val="00B70A2B"/>
    <w:rsid w:val="00B71167"/>
    <w:rsid w:val="00B7127B"/>
    <w:rsid w:val="00B71297"/>
    <w:rsid w:val="00B72575"/>
    <w:rsid w:val="00B72E2B"/>
    <w:rsid w:val="00B74938"/>
    <w:rsid w:val="00B76662"/>
    <w:rsid w:val="00B777E2"/>
    <w:rsid w:val="00B8101E"/>
    <w:rsid w:val="00B87C02"/>
    <w:rsid w:val="00B90239"/>
    <w:rsid w:val="00B917F7"/>
    <w:rsid w:val="00B91E8C"/>
    <w:rsid w:val="00B95815"/>
    <w:rsid w:val="00BA0224"/>
    <w:rsid w:val="00BA03D6"/>
    <w:rsid w:val="00BA11E9"/>
    <w:rsid w:val="00BA2153"/>
    <w:rsid w:val="00BA4AB2"/>
    <w:rsid w:val="00BB3DA6"/>
    <w:rsid w:val="00BB5645"/>
    <w:rsid w:val="00BB6240"/>
    <w:rsid w:val="00BC4F86"/>
    <w:rsid w:val="00BC768F"/>
    <w:rsid w:val="00BC7DCE"/>
    <w:rsid w:val="00BD1992"/>
    <w:rsid w:val="00BD2E61"/>
    <w:rsid w:val="00BD5677"/>
    <w:rsid w:val="00BD5711"/>
    <w:rsid w:val="00BD622C"/>
    <w:rsid w:val="00BE1639"/>
    <w:rsid w:val="00BE2772"/>
    <w:rsid w:val="00BE4595"/>
    <w:rsid w:val="00BF01A2"/>
    <w:rsid w:val="00BF0A7A"/>
    <w:rsid w:val="00BF4175"/>
    <w:rsid w:val="00BF434D"/>
    <w:rsid w:val="00BF6024"/>
    <w:rsid w:val="00C01744"/>
    <w:rsid w:val="00C02EE5"/>
    <w:rsid w:val="00C119F0"/>
    <w:rsid w:val="00C146DB"/>
    <w:rsid w:val="00C15F65"/>
    <w:rsid w:val="00C17EE5"/>
    <w:rsid w:val="00C3196D"/>
    <w:rsid w:val="00C3201B"/>
    <w:rsid w:val="00C328D9"/>
    <w:rsid w:val="00C334D2"/>
    <w:rsid w:val="00C37830"/>
    <w:rsid w:val="00C40D68"/>
    <w:rsid w:val="00C502D3"/>
    <w:rsid w:val="00C52574"/>
    <w:rsid w:val="00C52A87"/>
    <w:rsid w:val="00C54754"/>
    <w:rsid w:val="00C54EEB"/>
    <w:rsid w:val="00C6043D"/>
    <w:rsid w:val="00C61201"/>
    <w:rsid w:val="00C63D43"/>
    <w:rsid w:val="00C6567B"/>
    <w:rsid w:val="00C73242"/>
    <w:rsid w:val="00C73B3A"/>
    <w:rsid w:val="00C74BDE"/>
    <w:rsid w:val="00C84902"/>
    <w:rsid w:val="00C90860"/>
    <w:rsid w:val="00C91F6C"/>
    <w:rsid w:val="00C93219"/>
    <w:rsid w:val="00C93BFD"/>
    <w:rsid w:val="00C9585F"/>
    <w:rsid w:val="00C975CB"/>
    <w:rsid w:val="00CA3517"/>
    <w:rsid w:val="00CA5A27"/>
    <w:rsid w:val="00CA795D"/>
    <w:rsid w:val="00CB0F51"/>
    <w:rsid w:val="00CB33E2"/>
    <w:rsid w:val="00CB41A7"/>
    <w:rsid w:val="00CB5E41"/>
    <w:rsid w:val="00CB6271"/>
    <w:rsid w:val="00CB685D"/>
    <w:rsid w:val="00CB77A3"/>
    <w:rsid w:val="00CB7EC8"/>
    <w:rsid w:val="00CC1652"/>
    <w:rsid w:val="00CC4F27"/>
    <w:rsid w:val="00CC59AD"/>
    <w:rsid w:val="00CC6C47"/>
    <w:rsid w:val="00CD07A6"/>
    <w:rsid w:val="00CD4379"/>
    <w:rsid w:val="00CD4C65"/>
    <w:rsid w:val="00CE50CF"/>
    <w:rsid w:val="00CF46C0"/>
    <w:rsid w:val="00CF5294"/>
    <w:rsid w:val="00CF5514"/>
    <w:rsid w:val="00CF5844"/>
    <w:rsid w:val="00CF5E2E"/>
    <w:rsid w:val="00CF75E4"/>
    <w:rsid w:val="00D009E0"/>
    <w:rsid w:val="00D06ED7"/>
    <w:rsid w:val="00D200B0"/>
    <w:rsid w:val="00D227FD"/>
    <w:rsid w:val="00D23897"/>
    <w:rsid w:val="00D30849"/>
    <w:rsid w:val="00D32F9D"/>
    <w:rsid w:val="00D3529A"/>
    <w:rsid w:val="00D35EA8"/>
    <w:rsid w:val="00D35F65"/>
    <w:rsid w:val="00D366B0"/>
    <w:rsid w:val="00D437C2"/>
    <w:rsid w:val="00D4581D"/>
    <w:rsid w:val="00D4778A"/>
    <w:rsid w:val="00D47FDB"/>
    <w:rsid w:val="00D50F95"/>
    <w:rsid w:val="00D57A94"/>
    <w:rsid w:val="00D60DD5"/>
    <w:rsid w:val="00D67FAD"/>
    <w:rsid w:val="00D75F27"/>
    <w:rsid w:val="00D76012"/>
    <w:rsid w:val="00D76026"/>
    <w:rsid w:val="00D76622"/>
    <w:rsid w:val="00D859AD"/>
    <w:rsid w:val="00D85EB2"/>
    <w:rsid w:val="00D874F9"/>
    <w:rsid w:val="00D95735"/>
    <w:rsid w:val="00D95D64"/>
    <w:rsid w:val="00D96137"/>
    <w:rsid w:val="00DA3DA4"/>
    <w:rsid w:val="00DA574B"/>
    <w:rsid w:val="00DA6979"/>
    <w:rsid w:val="00DB395C"/>
    <w:rsid w:val="00DB65F7"/>
    <w:rsid w:val="00DB7912"/>
    <w:rsid w:val="00DD239F"/>
    <w:rsid w:val="00DD2E62"/>
    <w:rsid w:val="00DD33C7"/>
    <w:rsid w:val="00DE3869"/>
    <w:rsid w:val="00DE5EDB"/>
    <w:rsid w:val="00DE70BF"/>
    <w:rsid w:val="00DE751A"/>
    <w:rsid w:val="00DF1760"/>
    <w:rsid w:val="00DF3379"/>
    <w:rsid w:val="00DF380E"/>
    <w:rsid w:val="00DF4EF0"/>
    <w:rsid w:val="00DF6405"/>
    <w:rsid w:val="00E00976"/>
    <w:rsid w:val="00E021DF"/>
    <w:rsid w:val="00E04DC8"/>
    <w:rsid w:val="00E05C3B"/>
    <w:rsid w:val="00E07318"/>
    <w:rsid w:val="00E07962"/>
    <w:rsid w:val="00E10DA6"/>
    <w:rsid w:val="00E10F96"/>
    <w:rsid w:val="00E14562"/>
    <w:rsid w:val="00E21C97"/>
    <w:rsid w:val="00E2285C"/>
    <w:rsid w:val="00E2446F"/>
    <w:rsid w:val="00E27168"/>
    <w:rsid w:val="00E31FFC"/>
    <w:rsid w:val="00E33F98"/>
    <w:rsid w:val="00E3530C"/>
    <w:rsid w:val="00E35746"/>
    <w:rsid w:val="00E41884"/>
    <w:rsid w:val="00E41F0F"/>
    <w:rsid w:val="00E4347D"/>
    <w:rsid w:val="00E43ECC"/>
    <w:rsid w:val="00E44EE8"/>
    <w:rsid w:val="00E50D40"/>
    <w:rsid w:val="00E50EB3"/>
    <w:rsid w:val="00E544DA"/>
    <w:rsid w:val="00E55A0A"/>
    <w:rsid w:val="00E6403D"/>
    <w:rsid w:val="00E64348"/>
    <w:rsid w:val="00E6449D"/>
    <w:rsid w:val="00E64FE2"/>
    <w:rsid w:val="00E653B0"/>
    <w:rsid w:val="00E70193"/>
    <w:rsid w:val="00E71828"/>
    <w:rsid w:val="00E728D3"/>
    <w:rsid w:val="00E72E3E"/>
    <w:rsid w:val="00E76BAB"/>
    <w:rsid w:val="00E77455"/>
    <w:rsid w:val="00E81A0F"/>
    <w:rsid w:val="00E845CA"/>
    <w:rsid w:val="00E86246"/>
    <w:rsid w:val="00E87640"/>
    <w:rsid w:val="00E92549"/>
    <w:rsid w:val="00EA61A4"/>
    <w:rsid w:val="00EB04B4"/>
    <w:rsid w:val="00EB5DC6"/>
    <w:rsid w:val="00EC197A"/>
    <w:rsid w:val="00EC2763"/>
    <w:rsid w:val="00ED36A3"/>
    <w:rsid w:val="00ED548F"/>
    <w:rsid w:val="00ED5EE9"/>
    <w:rsid w:val="00EE19A2"/>
    <w:rsid w:val="00EE2726"/>
    <w:rsid w:val="00EF352D"/>
    <w:rsid w:val="00EF4076"/>
    <w:rsid w:val="00F005B8"/>
    <w:rsid w:val="00F00823"/>
    <w:rsid w:val="00F0424A"/>
    <w:rsid w:val="00F20133"/>
    <w:rsid w:val="00F22A71"/>
    <w:rsid w:val="00F23922"/>
    <w:rsid w:val="00F23C0F"/>
    <w:rsid w:val="00F25965"/>
    <w:rsid w:val="00F31A33"/>
    <w:rsid w:val="00F3291B"/>
    <w:rsid w:val="00F32A17"/>
    <w:rsid w:val="00F352D9"/>
    <w:rsid w:val="00F37DB4"/>
    <w:rsid w:val="00F4265D"/>
    <w:rsid w:val="00F45B14"/>
    <w:rsid w:val="00F55AFA"/>
    <w:rsid w:val="00F56F8E"/>
    <w:rsid w:val="00F608D7"/>
    <w:rsid w:val="00F61EFF"/>
    <w:rsid w:val="00F621D4"/>
    <w:rsid w:val="00F64DF9"/>
    <w:rsid w:val="00F672CB"/>
    <w:rsid w:val="00F70207"/>
    <w:rsid w:val="00F73981"/>
    <w:rsid w:val="00F75EC9"/>
    <w:rsid w:val="00F813A2"/>
    <w:rsid w:val="00F82458"/>
    <w:rsid w:val="00F855F6"/>
    <w:rsid w:val="00F85A31"/>
    <w:rsid w:val="00F85F47"/>
    <w:rsid w:val="00F87852"/>
    <w:rsid w:val="00F93CE9"/>
    <w:rsid w:val="00FA0908"/>
    <w:rsid w:val="00FA11F3"/>
    <w:rsid w:val="00FA39C7"/>
    <w:rsid w:val="00FB4E50"/>
    <w:rsid w:val="00FC0FBF"/>
    <w:rsid w:val="00FC2B7F"/>
    <w:rsid w:val="00FC3B62"/>
    <w:rsid w:val="00FC5304"/>
    <w:rsid w:val="00FD1705"/>
    <w:rsid w:val="00FD43F4"/>
    <w:rsid w:val="00FD74B9"/>
    <w:rsid w:val="00FE1EC2"/>
    <w:rsid w:val="00FE2E42"/>
    <w:rsid w:val="00FE3392"/>
    <w:rsid w:val="00FE4A91"/>
    <w:rsid w:val="00FE4F67"/>
    <w:rsid w:val="00FF010F"/>
    <w:rsid w:val="00FF055A"/>
    <w:rsid w:val="00FF15ED"/>
    <w:rsid w:val="00FF1E54"/>
    <w:rsid w:val="00FF3276"/>
    <w:rsid w:val="00FF3615"/>
    <w:rsid w:val="00FF44F1"/>
    <w:rsid w:val="00FF4D21"/>
    <w:rsid w:val="00FF50C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BE1635"/>
  <w15:chartTrackingRefBased/>
  <w15:docId w15:val="{8C6CE485-0F8F-4E28-8A55-A585BF94E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link w:val="Heading1Char"/>
    <w:uiPriority w:val="9"/>
    <w:qFormat/>
    <w:rsid w:val="00063486"/>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3113"/>
    <w:pPr>
      <w:tabs>
        <w:tab w:val="center" w:pos="4320"/>
        <w:tab w:val="right" w:pos="8640"/>
      </w:tabs>
    </w:pPr>
  </w:style>
  <w:style w:type="paragraph" w:customStyle="1" w:styleId="a">
    <w:name w:val="ΔΙΚΗΓΟΡΟΙ"/>
    <w:basedOn w:val="Normal"/>
    <w:pPr>
      <w:ind w:left="397" w:hanging="113"/>
      <w:jc w:val="both"/>
    </w:pPr>
    <w:rPr>
      <w:lang w:val="en-US"/>
    </w:rPr>
  </w:style>
  <w:style w:type="paragraph" w:customStyle="1" w:styleId="ONOMATATIT">
    <w:name w:val="ONOMATA TITΛΩΝ"/>
    <w:basedOn w:val="Normal"/>
    <w:link w:val="ONOMATATITChar"/>
    <w:pPr>
      <w:ind w:left="1701"/>
      <w:jc w:val="center"/>
    </w:pPr>
    <w:rPr>
      <w:caps/>
    </w:rPr>
  </w:style>
  <w:style w:type="paragraph" w:customStyle="1" w:styleId="a0">
    <w:name w:val="Εφεσείων ή Εφεσίβλητος"/>
    <w:basedOn w:val="Normal"/>
    <w:pPr>
      <w:keepNext/>
      <w:jc w:val="right"/>
      <w:outlineLvl w:val="0"/>
    </w:pPr>
    <w:rPr>
      <w:rFonts w:cs="Arial"/>
      <w:bCs/>
      <w:i/>
      <w:kern w:val="32"/>
      <w:szCs w:val="32"/>
    </w:rPr>
  </w:style>
  <w:style w:type="paragraph" w:customStyle="1" w:styleId="a1">
    <w:name w:val="ΓΡΑΜΜΩΣΗ"/>
    <w:basedOn w:val="a0"/>
    <w:pPr>
      <w:pBdr>
        <w:top w:val="single" w:sz="4" w:space="1" w:color="auto"/>
      </w:pBdr>
      <w:ind w:left="2268" w:right="2268"/>
      <w:jc w:val="center"/>
    </w:pPr>
    <w:rPr>
      <w:lang w:val="el-GR"/>
    </w:rPr>
  </w:style>
  <w:style w:type="paragraph" w:customStyle="1" w:styleId="a2">
    <w:name w:val="(Α) ΤΙΤΛΟΣ"/>
    <w:basedOn w:val="05"/>
    <w:pPr>
      <w:ind w:left="340" w:hanging="340"/>
    </w:pPr>
  </w:style>
  <w:style w:type="paragraph" w:customStyle="1" w:styleId="i">
    <w:name w:val="(i) ΤΙΤΛΟΣ"/>
    <w:basedOn w:val="05"/>
    <w:pPr>
      <w:tabs>
        <w:tab w:val="left" w:pos="624"/>
      </w:tabs>
      <w:spacing w:line="240" w:lineRule="auto"/>
      <w:ind w:left="681" w:hanging="397"/>
    </w:pPr>
    <w:rPr>
      <w:b/>
    </w:rPr>
  </w:style>
  <w:style w:type="paragraph" w:customStyle="1" w:styleId="i-2">
    <w:name w:val="(i) ΤΙΤΛΟΣ -2"/>
    <w:basedOn w:val="i"/>
    <w:pPr>
      <w:ind w:left="624" w:firstLine="0"/>
    </w:pPr>
    <w:rPr>
      <w:bCs w:val="0"/>
    </w:rPr>
  </w:style>
  <w:style w:type="paragraph" w:customStyle="1" w:styleId="05">
    <w:name w:val="ΠΑΡΑΓΡΑΦΟΣ 0.5"/>
    <w:basedOn w:val="ONOMATATIT"/>
    <w:link w:val="05Char"/>
    <w:pPr>
      <w:spacing w:line="360" w:lineRule="auto"/>
      <w:ind w:left="0" w:firstLine="284"/>
      <w:jc w:val="both"/>
    </w:pPr>
    <w:rPr>
      <w:bCs/>
      <w:caps w:val="0"/>
      <w:lang w:val="el-GR"/>
    </w:rPr>
  </w:style>
  <w:style w:type="paragraph" w:customStyle="1" w:styleId="INDENT">
    <w:name w:val="&quot;INDENT&quot;"/>
    <w:basedOn w:val="05"/>
    <w:pPr>
      <w:tabs>
        <w:tab w:val="left" w:pos="851"/>
      </w:tabs>
      <w:spacing w:line="240" w:lineRule="auto"/>
      <w:ind w:left="567" w:firstLine="0"/>
    </w:pPr>
    <w:rPr>
      <w:lang w:val="en-US"/>
    </w:rPr>
  </w:style>
  <w:style w:type="paragraph" w:customStyle="1" w:styleId="INDENT0">
    <w:name w:val="&quot;INDENT&quot;+"/>
    <w:basedOn w:val="INDENT"/>
    <w:pPr>
      <w:tabs>
        <w:tab w:val="left" w:pos="1134"/>
      </w:tabs>
      <w:ind w:left="851"/>
    </w:pPr>
  </w:style>
  <w:style w:type="paragraph" w:customStyle="1" w:styleId="INDENT1">
    <w:name w:val="&quot;INDENT&quot;++"/>
    <w:basedOn w:val="INDENT0"/>
    <w:pPr>
      <w:tabs>
        <w:tab w:val="left" w:pos="1418"/>
      </w:tabs>
      <w:ind w:left="1134"/>
    </w:pPr>
  </w:style>
  <w:style w:type="character" w:customStyle="1" w:styleId="HeaderChar">
    <w:name w:val="Header Char"/>
    <w:link w:val="Header"/>
    <w:uiPriority w:val="99"/>
    <w:rsid w:val="00B43113"/>
    <w:rPr>
      <w:sz w:val="24"/>
      <w:szCs w:val="24"/>
      <w:lang w:val="en-GB"/>
    </w:rPr>
  </w:style>
  <w:style w:type="paragraph" w:styleId="Footer">
    <w:name w:val="footer"/>
    <w:basedOn w:val="Normal"/>
    <w:link w:val="FooterChar"/>
    <w:uiPriority w:val="99"/>
    <w:semiHidden/>
    <w:unhideWhenUsed/>
    <w:rsid w:val="00B43113"/>
    <w:pPr>
      <w:tabs>
        <w:tab w:val="center" w:pos="4320"/>
        <w:tab w:val="right" w:pos="8640"/>
      </w:tabs>
    </w:pPr>
  </w:style>
  <w:style w:type="character" w:customStyle="1" w:styleId="FooterChar">
    <w:name w:val="Footer Char"/>
    <w:link w:val="Footer"/>
    <w:uiPriority w:val="99"/>
    <w:semiHidden/>
    <w:rsid w:val="00B43113"/>
    <w:rPr>
      <w:sz w:val="24"/>
      <w:szCs w:val="24"/>
      <w:lang w:val="en-GB"/>
    </w:rPr>
  </w:style>
  <w:style w:type="character" w:customStyle="1" w:styleId="ONOMATATITChar">
    <w:name w:val="ONOMATA TITΛΩΝ Char"/>
    <w:link w:val="ONOMATATIT"/>
    <w:rsid w:val="00BD1992"/>
    <w:rPr>
      <w:caps/>
      <w:sz w:val="24"/>
      <w:szCs w:val="24"/>
      <w:lang w:val="en-GB"/>
    </w:rPr>
  </w:style>
  <w:style w:type="character" w:customStyle="1" w:styleId="05Char">
    <w:name w:val="ΠΑΡΑΓΡΑΦΟΣ 0.5 Char"/>
    <w:link w:val="05"/>
    <w:rsid w:val="00BD1992"/>
    <w:rPr>
      <w:bCs/>
      <w:sz w:val="24"/>
      <w:szCs w:val="24"/>
      <w:lang w:val="el-GR"/>
    </w:rPr>
  </w:style>
  <w:style w:type="paragraph" w:styleId="ListParagraph">
    <w:name w:val="List Paragraph"/>
    <w:basedOn w:val="Normal"/>
    <w:qFormat/>
    <w:rsid w:val="00BD1992"/>
    <w:pPr>
      <w:ind w:left="720"/>
    </w:pPr>
  </w:style>
  <w:style w:type="paragraph" w:customStyle="1" w:styleId="0">
    <w:name w:val="ΠΑΡΑΓΡΑΦΟΣ 0"/>
    <w:aliases w:val="5 CM"/>
    <w:basedOn w:val="Normal"/>
    <w:autoRedefine/>
    <w:rsid w:val="00BD1992"/>
    <w:pPr>
      <w:spacing w:line="360" w:lineRule="auto"/>
      <w:ind w:firstLine="284"/>
      <w:jc w:val="both"/>
    </w:pPr>
    <w:rPr>
      <w:lang w:val="el-GR"/>
    </w:rPr>
  </w:style>
  <w:style w:type="character" w:styleId="Hyperlink">
    <w:name w:val="Hyperlink"/>
    <w:uiPriority w:val="99"/>
    <w:unhideWhenUsed/>
    <w:rsid w:val="00E728D3"/>
    <w:rPr>
      <w:color w:val="0000FF"/>
      <w:u w:val="single"/>
    </w:rPr>
  </w:style>
  <w:style w:type="paragraph" w:customStyle="1" w:styleId="Style1">
    <w:name w:val="Style1"/>
    <w:basedOn w:val="Normal"/>
    <w:autoRedefine/>
    <w:rsid w:val="00B570CA"/>
    <w:pPr>
      <w:widowControl w:val="0"/>
      <w:shd w:val="clear" w:color="auto" w:fill="FFFFFF"/>
      <w:autoSpaceDE w:val="0"/>
      <w:autoSpaceDN w:val="0"/>
      <w:adjustRightInd w:val="0"/>
      <w:ind w:left="288"/>
      <w:jc w:val="both"/>
    </w:pPr>
    <w:rPr>
      <w:sz w:val="28"/>
      <w:szCs w:val="28"/>
      <w:lang w:val="el-GR"/>
    </w:rPr>
  </w:style>
  <w:style w:type="paragraph" w:customStyle="1" w:styleId="00">
    <w:name w:val="0"/>
    <w:basedOn w:val="Normal"/>
    <w:rsid w:val="00117C36"/>
    <w:pPr>
      <w:spacing w:before="100" w:beforeAutospacing="1" w:after="100" w:afterAutospacing="1"/>
    </w:pPr>
    <w:rPr>
      <w:lang w:val="en-US"/>
    </w:rPr>
  </w:style>
  <w:style w:type="paragraph" w:styleId="FootnoteText">
    <w:name w:val="footnote text"/>
    <w:basedOn w:val="Normal"/>
    <w:link w:val="FootnoteTextChar"/>
    <w:uiPriority w:val="99"/>
    <w:semiHidden/>
    <w:unhideWhenUsed/>
    <w:rsid w:val="00814F25"/>
    <w:rPr>
      <w:sz w:val="20"/>
      <w:szCs w:val="20"/>
    </w:rPr>
  </w:style>
  <w:style w:type="character" w:customStyle="1" w:styleId="FootnoteTextChar">
    <w:name w:val="Footnote Text Char"/>
    <w:link w:val="FootnoteText"/>
    <w:uiPriority w:val="99"/>
    <w:semiHidden/>
    <w:rsid w:val="00814F25"/>
    <w:rPr>
      <w:lang w:val="en-GB"/>
    </w:rPr>
  </w:style>
  <w:style w:type="character" w:styleId="FootnoteReference">
    <w:name w:val="footnote reference"/>
    <w:uiPriority w:val="99"/>
    <w:semiHidden/>
    <w:unhideWhenUsed/>
    <w:rsid w:val="00814F25"/>
    <w:rPr>
      <w:vertAlign w:val="superscript"/>
    </w:rPr>
  </w:style>
  <w:style w:type="paragraph" w:customStyle="1" w:styleId="KANONIKH-">
    <w:name w:val="KANONIKH-ΤΙΤΛΟΣ"/>
    <w:basedOn w:val="Heading1"/>
    <w:rsid w:val="00063486"/>
    <w:pPr>
      <w:keepNext w:val="0"/>
      <w:spacing w:before="0" w:after="0"/>
      <w:jc w:val="both"/>
      <w:outlineLvl w:val="9"/>
    </w:pPr>
    <w:rPr>
      <w:rFonts w:ascii="Times New Roman" w:hAnsi="Times New Roman"/>
      <w:b w:val="0"/>
      <w:bCs w:val="0"/>
      <w:kern w:val="0"/>
      <w:sz w:val="28"/>
      <w:szCs w:val="28"/>
    </w:rPr>
  </w:style>
  <w:style w:type="character" w:customStyle="1" w:styleId="Heading1Char">
    <w:name w:val="Heading 1 Char"/>
    <w:link w:val="Heading1"/>
    <w:uiPriority w:val="9"/>
    <w:rsid w:val="00063486"/>
    <w:rPr>
      <w:rFonts w:ascii="Cambria" w:eastAsia="Times New Roman" w:hAnsi="Cambria" w:cs="Times New Roman"/>
      <w:b/>
      <w:bCs/>
      <w:kern w:val="32"/>
      <w:sz w:val="32"/>
      <w:szCs w:val="32"/>
      <w:lang w:val="en-GB"/>
    </w:rPr>
  </w:style>
  <w:style w:type="paragraph" w:styleId="BalloonText">
    <w:name w:val="Balloon Text"/>
    <w:basedOn w:val="Normal"/>
    <w:link w:val="BalloonTextChar"/>
    <w:uiPriority w:val="99"/>
    <w:semiHidden/>
    <w:unhideWhenUsed/>
    <w:rsid w:val="0012137B"/>
    <w:rPr>
      <w:rFonts w:ascii="Tahoma" w:hAnsi="Tahoma" w:cs="Tahoma"/>
      <w:sz w:val="16"/>
      <w:szCs w:val="16"/>
    </w:rPr>
  </w:style>
  <w:style w:type="character" w:customStyle="1" w:styleId="BalloonTextChar">
    <w:name w:val="Balloon Text Char"/>
    <w:link w:val="BalloonText"/>
    <w:uiPriority w:val="99"/>
    <w:semiHidden/>
    <w:rsid w:val="0012137B"/>
    <w:rPr>
      <w:rFonts w:ascii="Tahoma" w:hAnsi="Tahoma" w:cs="Tahoma"/>
      <w:sz w:val="16"/>
      <w:szCs w:val="16"/>
      <w:lang w:val="en-GB"/>
    </w:rPr>
  </w:style>
  <w:style w:type="paragraph" w:customStyle="1" w:styleId="apapaoi">
    <w:name w:val="apapaoi"/>
    <w:basedOn w:val="Normal"/>
    <w:rsid w:val="00751215"/>
    <w:pPr>
      <w:spacing w:line="250" w:lineRule="atLeast"/>
      <w:ind w:firstLine="283"/>
      <w:jc w:val="both"/>
    </w:pPr>
    <w:rPr>
      <w:rFonts w:ascii="GrTimes" w:hAnsi="GrTimes"/>
      <w:sz w:val="22"/>
      <w:szCs w:val="22"/>
      <w:lang w:val="el-GR" w:eastAsia="el-GR"/>
    </w:rPr>
  </w:style>
  <w:style w:type="paragraph" w:customStyle="1" w:styleId="apapaoi0">
    <w:name w:val="apapaoi0"/>
    <w:basedOn w:val="Normal"/>
    <w:rsid w:val="001372D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997539">
      <w:bodyDiv w:val="1"/>
      <w:marLeft w:val="0"/>
      <w:marRight w:val="0"/>
      <w:marTop w:val="0"/>
      <w:marBottom w:val="0"/>
      <w:divBdr>
        <w:top w:val="none" w:sz="0" w:space="0" w:color="auto"/>
        <w:left w:val="none" w:sz="0" w:space="0" w:color="auto"/>
        <w:bottom w:val="none" w:sz="0" w:space="0" w:color="auto"/>
        <w:right w:val="none" w:sz="0" w:space="0" w:color="auto"/>
      </w:divBdr>
    </w:div>
    <w:div w:id="369650798">
      <w:bodyDiv w:val="1"/>
      <w:marLeft w:val="0"/>
      <w:marRight w:val="0"/>
      <w:marTop w:val="0"/>
      <w:marBottom w:val="0"/>
      <w:divBdr>
        <w:top w:val="none" w:sz="0" w:space="0" w:color="auto"/>
        <w:left w:val="none" w:sz="0" w:space="0" w:color="auto"/>
        <w:bottom w:val="none" w:sz="0" w:space="0" w:color="auto"/>
        <w:right w:val="none" w:sz="0" w:space="0" w:color="auto"/>
      </w:divBdr>
    </w:div>
    <w:div w:id="380137656">
      <w:bodyDiv w:val="1"/>
      <w:marLeft w:val="0"/>
      <w:marRight w:val="0"/>
      <w:marTop w:val="0"/>
      <w:marBottom w:val="0"/>
      <w:divBdr>
        <w:top w:val="none" w:sz="0" w:space="0" w:color="auto"/>
        <w:left w:val="none" w:sz="0" w:space="0" w:color="auto"/>
        <w:bottom w:val="none" w:sz="0" w:space="0" w:color="auto"/>
        <w:right w:val="none" w:sz="0" w:space="0" w:color="auto"/>
      </w:divBdr>
    </w:div>
    <w:div w:id="552815217">
      <w:bodyDiv w:val="1"/>
      <w:marLeft w:val="0"/>
      <w:marRight w:val="0"/>
      <w:marTop w:val="0"/>
      <w:marBottom w:val="0"/>
      <w:divBdr>
        <w:top w:val="none" w:sz="0" w:space="0" w:color="auto"/>
        <w:left w:val="none" w:sz="0" w:space="0" w:color="auto"/>
        <w:bottom w:val="none" w:sz="0" w:space="0" w:color="auto"/>
        <w:right w:val="none" w:sz="0" w:space="0" w:color="auto"/>
      </w:divBdr>
    </w:div>
    <w:div w:id="557665726">
      <w:bodyDiv w:val="1"/>
      <w:marLeft w:val="0"/>
      <w:marRight w:val="0"/>
      <w:marTop w:val="0"/>
      <w:marBottom w:val="0"/>
      <w:divBdr>
        <w:top w:val="none" w:sz="0" w:space="0" w:color="auto"/>
        <w:left w:val="none" w:sz="0" w:space="0" w:color="auto"/>
        <w:bottom w:val="none" w:sz="0" w:space="0" w:color="auto"/>
        <w:right w:val="none" w:sz="0" w:space="0" w:color="auto"/>
      </w:divBdr>
    </w:div>
    <w:div w:id="575284575">
      <w:bodyDiv w:val="1"/>
      <w:marLeft w:val="0"/>
      <w:marRight w:val="0"/>
      <w:marTop w:val="0"/>
      <w:marBottom w:val="0"/>
      <w:divBdr>
        <w:top w:val="none" w:sz="0" w:space="0" w:color="auto"/>
        <w:left w:val="none" w:sz="0" w:space="0" w:color="auto"/>
        <w:bottom w:val="none" w:sz="0" w:space="0" w:color="auto"/>
        <w:right w:val="none" w:sz="0" w:space="0" w:color="auto"/>
      </w:divBdr>
    </w:div>
    <w:div w:id="611135872">
      <w:bodyDiv w:val="1"/>
      <w:marLeft w:val="0"/>
      <w:marRight w:val="0"/>
      <w:marTop w:val="0"/>
      <w:marBottom w:val="0"/>
      <w:divBdr>
        <w:top w:val="none" w:sz="0" w:space="0" w:color="auto"/>
        <w:left w:val="none" w:sz="0" w:space="0" w:color="auto"/>
        <w:bottom w:val="none" w:sz="0" w:space="0" w:color="auto"/>
        <w:right w:val="none" w:sz="0" w:space="0" w:color="auto"/>
      </w:divBdr>
      <w:divsChild>
        <w:div w:id="1055080410">
          <w:marLeft w:val="0"/>
          <w:marRight w:val="0"/>
          <w:marTop w:val="0"/>
          <w:marBottom w:val="0"/>
          <w:divBdr>
            <w:top w:val="none" w:sz="0" w:space="0" w:color="auto"/>
            <w:left w:val="none" w:sz="0" w:space="0" w:color="auto"/>
            <w:bottom w:val="none" w:sz="0" w:space="0" w:color="auto"/>
            <w:right w:val="none" w:sz="0" w:space="0" w:color="auto"/>
          </w:divBdr>
        </w:div>
      </w:divsChild>
    </w:div>
    <w:div w:id="743185488">
      <w:bodyDiv w:val="1"/>
      <w:marLeft w:val="0"/>
      <w:marRight w:val="0"/>
      <w:marTop w:val="0"/>
      <w:marBottom w:val="0"/>
      <w:divBdr>
        <w:top w:val="none" w:sz="0" w:space="0" w:color="auto"/>
        <w:left w:val="none" w:sz="0" w:space="0" w:color="auto"/>
        <w:bottom w:val="none" w:sz="0" w:space="0" w:color="auto"/>
        <w:right w:val="none" w:sz="0" w:space="0" w:color="auto"/>
      </w:divBdr>
    </w:div>
    <w:div w:id="775757400">
      <w:bodyDiv w:val="1"/>
      <w:marLeft w:val="0"/>
      <w:marRight w:val="0"/>
      <w:marTop w:val="0"/>
      <w:marBottom w:val="0"/>
      <w:divBdr>
        <w:top w:val="none" w:sz="0" w:space="0" w:color="auto"/>
        <w:left w:val="none" w:sz="0" w:space="0" w:color="auto"/>
        <w:bottom w:val="none" w:sz="0" w:space="0" w:color="auto"/>
        <w:right w:val="none" w:sz="0" w:space="0" w:color="auto"/>
      </w:divBdr>
      <w:divsChild>
        <w:div w:id="2099205614">
          <w:marLeft w:val="0"/>
          <w:marRight w:val="0"/>
          <w:marTop w:val="0"/>
          <w:marBottom w:val="0"/>
          <w:divBdr>
            <w:top w:val="none" w:sz="0" w:space="0" w:color="auto"/>
            <w:left w:val="none" w:sz="0" w:space="0" w:color="auto"/>
            <w:bottom w:val="none" w:sz="0" w:space="0" w:color="auto"/>
            <w:right w:val="none" w:sz="0" w:space="0" w:color="auto"/>
          </w:divBdr>
        </w:div>
      </w:divsChild>
    </w:div>
    <w:div w:id="898828640">
      <w:bodyDiv w:val="1"/>
      <w:marLeft w:val="0"/>
      <w:marRight w:val="0"/>
      <w:marTop w:val="0"/>
      <w:marBottom w:val="0"/>
      <w:divBdr>
        <w:top w:val="none" w:sz="0" w:space="0" w:color="auto"/>
        <w:left w:val="none" w:sz="0" w:space="0" w:color="auto"/>
        <w:bottom w:val="none" w:sz="0" w:space="0" w:color="auto"/>
        <w:right w:val="none" w:sz="0" w:space="0" w:color="auto"/>
      </w:divBdr>
    </w:div>
    <w:div w:id="1075857652">
      <w:bodyDiv w:val="1"/>
      <w:marLeft w:val="0"/>
      <w:marRight w:val="0"/>
      <w:marTop w:val="0"/>
      <w:marBottom w:val="0"/>
      <w:divBdr>
        <w:top w:val="none" w:sz="0" w:space="0" w:color="auto"/>
        <w:left w:val="none" w:sz="0" w:space="0" w:color="auto"/>
        <w:bottom w:val="none" w:sz="0" w:space="0" w:color="auto"/>
        <w:right w:val="none" w:sz="0" w:space="0" w:color="auto"/>
      </w:divBdr>
    </w:div>
    <w:div w:id="1447771975">
      <w:bodyDiv w:val="1"/>
      <w:marLeft w:val="0"/>
      <w:marRight w:val="0"/>
      <w:marTop w:val="0"/>
      <w:marBottom w:val="0"/>
      <w:divBdr>
        <w:top w:val="none" w:sz="0" w:space="0" w:color="auto"/>
        <w:left w:val="none" w:sz="0" w:space="0" w:color="auto"/>
        <w:bottom w:val="none" w:sz="0" w:space="0" w:color="auto"/>
        <w:right w:val="none" w:sz="0" w:space="0" w:color="auto"/>
      </w:divBdr>
    </w:div>
    <w:div w:id="1455170386">
      <w:bodyDiv w:val="1"/>
      <w:marLeft w:val="0"/>
      <w:marRight w:val="0"/>
      <w:marTop w:val="0"/>
      <w:marBottom w:val="0"/>
      <w:divBdr>
        <w:top w:val="none" w:sz="0" w:space="0" w:color="auto"/>
        <w:left w:val="none" w:sz="0" w:space="0" w:color="auto"/>
        <w:bottom w:val="none" w:sz="0" w:space="0" w:color="auto"/>
        <w:right w:val="none" w:sz="0" w:space="0" w:color="auto"/>
      </w:divBdr>
    </w:div>
    <w:div w:id="1477455655">
      <w:bodyDiv w:val="1"/>
      <w:marLeft w:val="0"/>
      <w:marRight w:val="0"/>
      <w:marTop w:val="0"/>
      <w:marBottom w:val="0"/>
      <w:divBdr>
        <w:top w:val="none" w:sz="0" w:space="0" w:color="auto"/>
        <w:left w:val="none" w:sz="0" w:space="0" w:color="auto"/>
        <w:bottom w:val="none" w:sz="0" w:space="0" w:color="auto"/>
        <w:right w:val="none" w:sz="0" w:space="0" w:color="auto"/>
      </w:divBdr>
    </w:div>
    <w:div w:id="1552963917">
      <w:bodyDiv w:val="1"/>
      <w:marLeft w:val="0"/>
      <w:marRight w:val="0"/>
      <w:marTop w:val="0"/>
      <w:marBottom w:val="0"/>
      <w:divBdr>
        <w:top w:val="none" w:sz="0" w:space="0" w:color="auto"/>
        <w:left w:val="none" w:sz="0" w:space="0" w:color="auto"/>
        <w:bottom w:val="none" w:sz="0" w:space="0" w:color="auto"/>
        <w:right w:val="none" w:sz="0" w:space="0" w:color="auto"/>
      </w:divBdr>
    </w:div>
    <w:div w:id="1602255687">
      <w:bodyDiv w:val="1"/>
      <w:marLeft w:val="0"/>
      <w:marRight w:val="0"/>
      <w:marTop w:val="0"/>
      <w:marBottom w:val="0"/>
      <w:divBdr>
        <w:top w:val="none" w:sz="0" w:space="0" w:color="auto"/>
        <w:left w:val="none" w:sz="0" w:space="0" w:color="auto"/>
        <w:bottom w:val="none" w:sz="0" w:space="0" w:color="auto"/>
        <w:right w:val="none" w:sz="0" w:space="0" w:color="auto"/>
      </w:divBdr>
    </w:div>
    <w:div w:id="1626161652">
      <w:bodyDiv w:val="1"/>
      <w:marLeft w:val="0"/>
      <w:marRight w:val="0"/>
      <w:marTop w:val="0"/>
      <w:marBottom w:val="0"/>
      <w:divBdr>
        <w:top w:val="none" w:sz="0" w:space="0" w:color="auto"/>
        <w:left w:val="none" w:sz="0" w:space="0" w:color="auto"/>
        <w:bottom w:val="none" w:sz="0" w:space="0" w:color="auto"/>
        <w:right w:val="none" w:sz="0" w:space="0" w:color="auto"/>
      </w:divBdr>
    </w:div>
    <w:div w:id="1752119204">
      <w:bodyDiv w:val="1"/>
      <w:marLeft w:val="0"/>
      <w:marRight w:val="0"/>
      <w:marTop w:val="0"/>
      <w:marBottom w:val="0"/>
      <w:divBdr>
        <w:top w:val="none" w:sz="0" w:space="0" w:color="auto"/>
        <w:left w:val="none" w:sz="0" w:space="0" w:color="auto"/>
        <w:bottom w:val="none" w:sz="0" w:space="0" w:color="auto"/>
        <w:right w:val="none" w:sz="0" w:space="0" w:color="auto"/>
      </w:divBdr>
    </w:div>
    <w:div w:id="2059546607">
      <w:bodyDiv w:val="1"/>
      <w:marLeft w:val="0"/>
      <w:marRight w:val="0"/>
      <w:marTop w:val="0"/>
      <w:marBottom w:val="0"/>
      <w:divBdr>
        <w:top w:val="none" w:sz="0" w:space="0" w:color="auto"/>
        <w:left w:val="none" w:sz="0" w:space="0" w:color="auto"/>
        <w:bottom w:val="none" w:sz="0" w:space="0" w:color="auto"/>
        <w:right w:val="none" w:sz="0" w:space="0" w:color="auto"/>
      </w:divBdr>
    </w:div>
    <w:div w:id="2122601894">
      <w:bodyDiv w:val="1"/>
      <w:marLeft w:val="0"/>
      <w:marRight w:val="0"/>
      <w:marTop w:val="0"/>
      <w:marBottom w:val="0"/>
      <w:divBdr>
        <w:top w:val="none" w:sz="0" w:space="0" w:color="auto"/>
        <w:left w:val="none" w:sz="0" w:space="0" w:color="auto"/>
        <w:bottom w:val="none" w:sz="0" w:space="0" w:color="auto"/>
        <w:right w:val="none" w:sz="0" w:space="0" w:color="auto"/>
      </w:divBdr>
    </w:div>
    <w:div w:id="21390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B27D88-165E-4901-939E-B7E30B35E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27</Pages>
  <Words>5021</Words>
  <Characters>28587</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ΑΝΩΤΑΤΟ ΔΙΚΑΣΤΗΡΙΟ ΚΥΠΡΟΥ</vt:lpstr>
    </vt:vector>
  </TitlesOfParts>
  <Company/>
  <LinksUpToDate>false</LinksUpToDate>
  <CharactersWithSpaces>33541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ΑΝΩΤΑΤΟ ΔΙΚΑΣΤΗΡΙΟ ΚΥΠΡΟΥ</dc:title>
  <dc:subject/>
  <dc:creator>-</dc:creator>
  <cp:keywords/>
  <cp:lastModifiedBy>Marilia Hadjiprodromou</cp:lastModifiedBy>
  <cp:revision>4</cp:revision>
  <cp:lastPrinted>2024-02-28T06:45:00Z</cp:lastPrinted>
  <dcterms:created xsi:type="dcterms:W3CDTF">2024-03-07T06:02:00Z</dcterms:created>
  <dcterms:modified xsi:type="dcterms:W3CDTF">2024-03-07T06:04:00Z</dcterms:modified>
</cp:coreProperties>
</file>